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4395"/>
      </w:tblGrid>
      <w:tr w:rsidR="008846C7" w:rsidTr="0038124C">
        <w:trPr>
          <w:trHeight w:val="699"/>
        </w:trPr>
        <w:tc>
          <w:tcPr>
            <w:tcW w:w="5806" w:type="dxa"/>
          </w:tcPr>
          <w:p w:rsidR="008846C7" w:rsidRDefault="008846C7" w:rsidP="0038124C">
            <w:pPr>
              <w:rPr>
                <w:b/>
                <w:color w:val="0070C0"/>
                <w:sz w:val="24"/>
                <w:szCs w:val="24"/>
                <w:u w:val="single"/>
              </w:rPr>
            </w:pPr>
            <w:r w:rsidRPr="00C748AA">
              <w:rPr>
                <w:b/>
                <w:color w:val="0070C0"/>
                <w:sz w:val="24"/>
                <w:szCs w:val="24"/>
                <w:u w:val="single"/>
              </w:rPr>
              <w:t xml:space="preserve">ОБРАЗЕЦ ПД </w:t>
            </w:r>
          </w:p>
          <w:p w:rsidR="008846C7" w:rsidRPr="00C748AA" w:rsidRDefault="008846C7" w:rsidP="008846C7">
            <w:pPr>
              <w:rPr>
                <w:b/>
                <w:sz w:val="24"/>
                <w:szCs w:val="24"/>
                <w:u w:val="single"/>
              </w:rPr>
            </w:pPr>
            <w:r w:rsidRPr="00C748AA">
              <w:rPr>
                <w:b/>
                <w:color w:val="0070C0"/>
                <w:sz w:val="24"/>
                <w:szCs w:val="24"/>
                <w:u w:val="single"/>
              </w:rPr>
              <w:t>при уплате платежей</w:t>
            </w:r>
            <w:r>
              <w:rPr>
                <w:b/>
                <w:color w:val="0070C0"/>
                <w:sz w:val="24"/>
                <w:szCs w:val="24"/>
                <w:u w:val="single"/>
              </w:rPr>
              <w:t xml:space="preserve"> входящих в ЕНП</w:t>
            </w:r>
          </w:p>
        </w:tc>
        <w:tc>
          <w:tcPr>
            <w:tcW w:w="4395" w:type="dxa"/>
          </w:tcPr>
          <w:p w:rsidR="008846C7" w:rsidRDefault="008846C7" w:rsidP="0038124C">
            <w:pPr>
              <w:spacing w:after="240"/>
              <w:rPr>
                <w:sz w:val="16"/>
                <w:szCs w:val="16"/>
              </w:rPr>
            </w:pPr>
            <w:r>
              <w:rPr>
                <w:sz w:val="16"/>
                <w:szCs w:val="16"/>
              </w:rPr>
              <w:t>Приложение 2</w:t>
            </w:r>
            <w:r>
              <w:rPr>
                <w:sz w:val="16"/>
                <w:szCs w:val="16"/>
              </w:rPr>
              <w:br/>
              <w:t>к Положению Банка России</w:t>
            </w:r>
            <w:r>
              <w:rPr>
                <w:sz w:val="16"/>
                <w:szCs w:val="16"/>
              </w:rPr>
              <w:br/>
              <w:t>от 29 июня 2021 года № 762-П</w:t>
            </w:r>
            <w:r>
              <w:rPr>
                <w:sz w:val="16"/>
                <w:szCs w:val="16"/>
              </w:rPr>
              <w:br/>
              <w:t>«О правилах осуществления перевода денежных средств»</w:t>
            </w:r>
          </w:p>
        </w:tc>
      </w:tr>
    </w:tbl>
    <w:p w:rsidR="00F7359C" w:rsidRPr="00F7359C" w:rsidRDefault="00F7359C" w:rsidP="00F7359C">
      <w:pPr>
        <w:spacing w:after="240"/>
        <w:ind w:left="8051"/>
        <w:jc w:val="right"/>
      </w:pPr>
    </w:p>
    <w:tbl>
      <w:tblPr>
        <w:tblW w:w="10264" w:type="dxa"/>
        <w:tblLayout w:type="fixed"/>
        <w:tblCellMar>
          <w:left w:w="28" w:type="dxa"/>
          <w:right w:w="28" w:type="dxa"/>
        </w:tblCellMar>
        <w:tblLook w:val="0000" w:firstRow="0" w:lastRow="0" w:firstColumn="0" w:lastColumn="0" w:noHBand="0" w:noVBand="0"/>
      </w:tblPr>
      <w:tblGrid>
        <w:gridCol w:w="1985"/>
        <w:gridCol w:w="1191"/>
        <w:gridCol w:w="1985"/>
        <w:gridCol w:w="4253"/>
        <w:gridCol w:w="850"/>
      </w:tblGrid>
      <w:tr w:rsidR="004A62E9" w:rsidTr="00B5046D">
        <w:trPr>
          <w:cantSplit/>
        </w:trPr>
        <w:tc>
          <w:tcPr>
            <w:tcW w:w="1985" w:type="dxa"/>
            <w:tcBorders>
              <w:top w:val="nil"/>
              <w:left w:val="nil"/>
              <w:bottom w:val="single" w:sz="4" w:space="0" w:color="auto"/>
              <w:right w:val="nil"/>
            </w:tcBorders>
            <w:vAlign w:val="bottom"/>
          </w:tcPr>
          <w:p w:rsidR="004A62E9" w:rsidRDefault="004A62E9">
            <w:pPr>
              <w:jc w:val="center"/>
            </w:pPr>
          </w:p>
        </w:tc>
        <w:tc>
          <w:tcPr>
            <w:tcW w:w="1191" w:type="dxa"/>
            <w:tcBorders>
              <w:top w:val="nil"/>
              <w:left w:val="nil"/>
              <w:bottom w:val="nil"/>
              <w:right w:val="nil"/>
            </w:tcBorders>
            <w:vAlign w:val="bottom"/>
          </w:tcPr>
          <w:p w:rsidR="004A62E9" w:rsidRDefault="004A62E9"/>
        </w:tc>
        <w:tc>
          <w:tcPr>
            <w:tcW w:w="1985" w:type="dxa"/>
            <w:tcBorders>
              <w:top w:val="nil"/>
              <w:left w:val="nil"/>
              <w:bottom w:val="single" w:sz="4" w:space="0" w:color="auto"/>
              <w:right w:val="nil"/>
            </w:tcBorders>
            <w:vAlign w:val="bottom"/>
          </w:tcPr>
          <w:p w:rsidR="004A62E9" w:rsidRDefault="004A62E9">
            <w:pPr>
              <w:jc w:val="center"/>
            </w:pPr>
          </w:p>
        </w:tc>
        <w:tc>
          <w:tcPr>
            <w:tcW w:w="4253" w:type="dxa"/>
            <w:tcBorders>
              <w:top w:val="nil"/>
              <w:left w:val="nil"/>
              <w:bottom w:val="nil"/>
              <w:right w:val="nil"/>
            </w:tcBorders>
            <w:vAlign w:val="bottom"/>
          </w:tcPr>
          <w:p w:rsidR="004A62E9" w:rsidRDefault="004A62E9"/>
        </w:tc>
        <w:tc>
          <w:tcPr>
            <w:tcW w:w="850" w:type="dxa"/>
            <w:tcBorders>
              <w:top w:val="single" w:sz="4" w:space="0" w:color="auto"/>
              <w:left w:val="single" w:sz="4" w:space="0" w:color="auto"/>
              <w:bottom w:val="single" w:sz="4" w:space="0" w:color="auto"/>
              <w:right w:val="single" w:sz="4" w:space="0" w:color="auto"/>
            </w:tcBorders>
            <w:vAlign w:val="bottom"/>
          </w:tcPr>
          <w:p w:rsidR="004A62E9" w:rsidRDefault="004A62E9">
            <w:pPr>
              <w:jc w:val="center"/>
            </w:pPr>
          </w:p>
        </w:tc>
      </w:tr>
      <w:tr w:rsidR="004A62E9" w:rsidTr="00B5046D">
        <w:trPr>
          <w:cantSplit/>
        </w:trPr>
        <w:tc>
          <w:tcPr>
            <w:tcW w:w="1985" w:type="dxa"/>
            <w:tcBorders>
              <w:top w:val="nil"/>
              <w:left w:val="nil"/>
              <w:bottom w:val="nil"/>
              <w:right w:val="nil"/>
            </w:tcBorders>
            <w:vAlign w:val="bottom"/>
          </w:tcPr>
          <w:p w:rsidR="004A62E9" w:rsidRDefault="004A62E9">
            <w:pPr>
              <w:jc w:val="center"/>
              <w:rPr>
                <w:sz w:val="16"/>
                <w:szCs w:val="16"/>
              </w:rPr>
            </w:pPr>
            <w:proofErr w:type="spellStart"/>
            <w:r>
              <w:rPr>
                <w:sz w:val="16"/>
                <w:szCs w:val="16"/>
              </w:rPr>
              <w:t>Поступ</w:t>
            </w:r>
            <w:proofErr w:type="spellEnd"/>
            <w:r>
              <w:rPr>
                <w:sz w:val="16"/>
                <w:szCs w:val="16"/>
              </w:rPr>
              <w:t>. в банк плат.</w:t>
            </w:r>
          </w:p>
        </w:tc>
        <w:tc>
          <w:tcPr>
            <w:tcW w:w="1191" w:type="dxa"/>
            <w:tcBorders>
              <w:top w:val="nil"/>
              <w:left w:val="nil"/>
              <w:bottom w:val="nil"/>
              <w:right w:val="nil"/>
            </w:tcBorders>
            <w:vAlign w:val="bottom"/>
          </w:tcPr>
          <w:p w:rsidR="004A62E9" w:rsidRDefault="004A62E9">
            <w:pPr>
              <w:jc w:val="both"/>
              <w:rPr>
                <w:sz w:val="16"/>
                <w:szCs w:val="16"/>
              </w:rPr>
            </w:pPr>
          </w:p>
        </w:tc>
        <w:tc>
          <w:tcPr>
            <w:tcW w:w="1985" w:type="dxa"/>
            <w:tcBorders>
              <w:top w:val="nil"/>
              <w:left w:val="nil"/>
              <w:bottom w:val="nil"/>
              <w:right w:val="nil"/>
            </w:tcBorders>
            <w:vAlign w:val="bottom"/>
          </w:tcPr>
          <w:p w:rsidR="004A62E9" w:rsidRDefault="004A62E9">
            <w:pPr>
              <w:jc w:val="center"/>
              <w:rPr>
                <w:sz w:val="16"/>
                <w:szCs w:val="16"/>
              </w:rPr>
            </w:pPr>
            <w:r>
              <w:rPr>
                <w:sz w:val="16"/>
                <w:szCs w:val="16"/>
              </w:rPr>
              <w:t xml:space="preserve">Списано со </w:t>
            </w:r>
            <w:proofErr w:type="spellStart"/>
            <w:r>
              <w:rPr>
                <w:sz w:val="16"/>
                <w:szCs w:val="16"/>
              </w:rPr>
              <w:t>сч</w:t>
            </w:r>
            <w:proofErr w:type="spellEnd"/>
            <w:r>
              <w:rPr>
                <w:sz w:val="16"/>
                <w:szCs w:val="16"/>
              </w:rPr>
              <w:t>. плат.</w:t>
            </w:r>
          </w:p>
        </w:tc>
        <w:tc>
          <w:tcPr>
            <w:tcW w:w="4253" w:type="dxa"/>
            <w:tcBorders>
              <w:top w:val="nil"/>
              <w:left w:val="nil"/>
              <w:bottom w:val="nil"/>
              <w:right w:val="nil"/>
            </w:tcBorders>
            <w:vAlign w:val="bottom"/>
          </w:tcPr>
          <w:p w:rsidR="004A62E9" w:rsidRDefault="004A62E9" w:rsidP="00DA481C">
            <w:pPr>
              <w:jc w:val="both"/>
              <w:rPr>
                <w:sz w:val="16"/>
                <w:szCs w:val="16"/>
              </w:rPr>
            </w:pPr>
          </w:p>
        </w:tc>
        <w:tc>
          <w:tcPr>
            <w:tcW w:w="850" w:type="dxa"/>
            <w:tcBorders>
              <w:top w:val="nil"/>
              <w:left w:val="nil"/>
              <w:bottom w:val="nil"/>
              <w:right w:val="nil"/>
            </w:tcBorders>
            <w:vAlign w:val="bottom"/>
          </w:tcPr>
          <w:p w:rsidR="004A62E9" w:rsidRDefault="004A62E9">
            <w:pPr>
              <w:jc w:val="both"/>
              <w:rPr>
                <w:sz w:val="16"/>
                <w:szCs w:val="16"/>
              </w:rPr>
            </w:pPr>
          </w:p>
        </w:tc>
      </w:tr>
    </w:tbl>
    <w:p w:rsidR="004A62E9" w:rsidRDefault="004A62E9"/>
    <w:tbl>
      <w:tblPr>
        <w:tblW w:w="10234" w:type="dxa"/>
        <w:tblLayout w:type="fixed"/>
        <w:tblCellMar>
          <w:left w:w="28" w:type="dxa"/>
          <w:right w:w="28" w:type="dxa"/>
        </w:tblCellMar>
        <w:tblLook w:val="0000" w:firstRow="0" w:lastRow="0" w:firstColumn="0" w:lastColumn="0" w:noHBand="0" w:noVBand="0"/>
      </w:tblPr>
      <w:tblGrid>
        <w:gridCol w:w="3969"/>
        <w:gridCol w:w="1984"/>
        <w:gridCol w:w="284"/>
        <w:gridCol w:w="1984"/>
        <w:gridCol w:w="86"/>
        <w:gridCol w:w="1927"/>
      </w:tblGrid>
      <w:tr w:rsidR="004A62E9" w:rsidRPr="00524583" w:rsidTr="00AE4B42">
        <w:trPr>
          <w:trHeight w:val="578"/>
        </w:trPr>
        <w:tc>
          <w:tcPr>
            <w:tcW w:w="3969" w:type="dxa"/>
            <w:tcBorders>
              <w:top w:val="nil"/>
              <w:left w:val="nil"/>
              <w:bottom w:val="nil"/>
              <w:right w:val="nil"/>
            </w:tcBorders>
            <w:vAlign w:val="bottom"/>
          </w:tcPr>
          <w:p w:rsidR="004A62E9" w:rsidRDefault="004A62E9" w:rsidP="00AB274C">
            <w:pPr>
              <w:ind w:left="57"/>
              <w:rPr>
                <w:b/>
                <w:bCs/>
                <w:sz w:val="24"/>
                <w:szCs w:val="24"/>
              </w:rPr>
            </w:pPr>
            <w:r>
              <w:rPr>
                <w:b/>
                <w:bCs/>
                <w:sz w:val="24"/>
                <w:szCs w:val="24"/>
              </w:rPr>
              <w:t>ПЛАТЕ</w:t>
            </w:r>
            <w:r w:rsidR="00B7698C">
              <w:rPr>
                <w:b/>
                <w:bCs/>
                <w:sz w:val="24"/>
                <w:szCs w:val="24"/>
              </w:rPr>
              <w:t xml:space="preserve">ЖНОЕ ПОРУЧЕНИЕ №  </w:t>
            </w:r>
          </w:p>
        </w:tc>
        <w:tc>
          <w:tcPr>
            <w:tcW w:w="1984" w:type="dxa"/>
            <w:tcBorders>
              <w:top w:val="nil"/>
              <w:left w:val="nil"/>
              <w:bottom w:val="single" w:sz="4" w:space="0" w:color="auto"/>
              <w:right w:val="nil"/>
            </w:tcBorders>
            <w:vAlign w:val="bottom"/>
          </w:tcPr>
          <w:p w:rsidR="004A62E9" w:rsidRDefault="004A62E9">
            <w:pPr>
              <w:jc w:val="center"/>
            </w:pPr>
          </w:p>
        </w:tc>
        <w:tc>
          <w:tcPr>
            <w:tcW w:w="284" w:type="dxa"/>
            <w:tcBorders>
              <w:top w:val="nil"/>
              <w:left w:val="nil"/>
              <w:bottom w:val="nil"/>
              <w:right w:val="nil"/>
            </w:tcBorders>
            <w:vAlign w:val="bottom"/>
          </w:tcPr>
          <w:p w:rsidR="004A62E9" w:rsidRDefault="004A62E9"/>
        </w:tc>
        <w:tc>
          <w:tcPr>
            <w:tcW w:w="1984" w:type="dxa"/>
            <w:tcBorders>
              <w:top w:val="nil"/>
              <w:left w:val="nil"/>
              <w:bottom w:val="single" w:sz="4" w:space="0" w:color="auto"/>
              <w:right w:val="nil"/>
            </w:tcBorders>
            <w:vAlign w:val="bottom"/>
          </w:tcPr>
          <w:p w:rsidR="004A62E9" w:rsidRDefault="004A62E9">
            <w:pPr>
              <w:jc w:val="center"/>
            </w:pPr>
          </w:p>
        </w:tc>
        <w:tc>
          <w:tcPr>
            <w:tcW w:w="86" w:type="dxa"/>
            <w:tcBorders>
              <w:top w:val="nil"/>
              <w:left w:val="nil"/>
              <w:bottom w:val="nil"/>
              <w:right w:val="nil"/>
            </w:tcBorders>
            <w:vAlign w:val="bottom"/>
          </w:tcPr>
          <w:p w:rsidR="004A62E9" w:rsidRDefault="004A62E9">
            <w:pPr>
              <w:jc w:val="center"/>
            </w:pPr>
          </w:p>
        </w:tc>
        <w:tc>
          <w:tcPr>
            <w:tcW w:w="1927" w:type="dxa"/>
            <w:tcBorders>
              <w:top w:val="single" w:sz="4" w:space="0" w:color="auto"/>
              <w:left w:val="single" w:sz="4" w:space="0" w:color="auto"/>
              <w:bottom w:val="single" w:sz="4" w:space="0" w:color="auto"/>
              <w:right w:val="single" w:sz="4" w:space="0" w:color="auto"/>
            </w:tcBorders>
            <w:vAlign w:val="bottom"/>
          </w:tcPr>
          <w:p w:rsidR="008846C7" w:rsidRPr="00C748AA" w:rsidRDefault="008846C7" w:rsidP="008846C7">
            <w:pPr>
              <w:rPr>
                <w:b/>
                <w:bCs/>
                <w:color w:val="0070C0"/>
              </w:rPr>
            </w:pPr>
            <w:r w:rsidRPr="00C748AA">
              <w:rPr>
                <w:b/>
                <w:bCs/>
                <w:color w:val="0070C0"/>
              </w:rPr>
              <w:t xml:space="preserve">Статус 01 </w:t>
            </w:r>
          </w:p>
          <w:p w:rsidR="004A62E9" w:rsidRPr="00524583" w:rsidRDefault="004A62E9" w:rsidP="000F78B1">
            <w:pPr>
              <w:rPr>
                <w:color w:val="00B050"/>
              </w:rPr>
            </w:pPr>
          </w:p>
        </w:tc>
      </w:tr>
      <w:tr w:rsidR="004A62E9" w:rsidTr="00AE4B42">
        <w:tc>
          <w:tcPr>
            <w:tcW w:w="3969" w:type="dxa"/>
            <w:tcBorders>
              <w:top w:val="nil"/>
              <w:left w:val="nil"/>
              <w:bottom w:val="nil"/>
              <w:right w:val="nil"/>
            </w:tcBorders>
            <w:vAlign w:val="bottom"/>
          </w:tcPr>
          <w:p w:rsidR="004A62E9" w:rsidRDefault="004A62E9">
            <w:pPr>
              <w:jc w:val="center"/>
              <w:rPr>
                <w:sz w:val="16"/>
                <w:szCs w:val="16"/>
              </w:rPr>
            </w:pPr>
          </w:p>
        </w:tc>
        <w:tc>
          <w:tcPr>
            <w:tcW w:w="1984" w:type="dxa"/>
            <w:tcBorders>
              <w:top w:val="nil"/>
              <w:left w:val="nil"/>
              <w:bottom w:val="nil"/>
              <w:right w:val="nil"/>
            </w:tcBorders>
            <w:vAlign w:val="bottom"/>
          </w:tcPr>
          <w:p w:rsidR="004A62E9" w:rsidRDefault="004A62E9">
            <w:pPr>
              <w:jc w:val="center"/>
              <w:rPr>
                <w:sz w:val="16"/>
                <w:szCs w:val="16"/>
              </w:rPr>
            </w:pPr>
            <w:r>
              <w:rPr>
                <w:sz w:val="16"/>
                <w:szCs w:val="16"/>
              </w:rPr>
              <w:t>Дата</w:t>
            </w:r>
          </w:p>
        </w:tc>
        <w:tc>
          <w:tcPr>
            <w:tcW w:w="284" w:type="dxa"/>
            <w:tcBorders>
              <w:top w:val="nil"/>
              <w:left w:val="nil"/>
              <w:bottom w:val="nil"/>
              <w:right w:val="nil"/>
            </w:tcBorders>
            <w:vAlign w:val="bottom"/>
          </w:tcPr>
          <w:p w:rsidR="004A62E9" w:rsidRDefault="004A62E9">
            <w:pPr>
              <w:jc w:val="center"/>
              <w:rPr>
                <w:sz w:val="16"/>
                <w:szCs w:val="16"/>
              </w:rPr>
            </w:pPr>
          </w:p>
        </w:tc>
        <w:tc>
          <w:tcPr>
            <w:tcW w:w="1984" w:type="dxa"/>
            <w:tcBorders>
              <w:top w:val="nil"/>
              <w:left w:val="nil"/>
              <w:bottom w:val="nil"/>
              <w:right w:val="nil"/>
            </w:tcBorders>
            <w:vAlign w:val="bottom"/>
          </w:tcPr>
          <w:p w:rsidR="004A62E9" w:rsidRDefault="004A62E9">
            <w:pPr>
              <w:jc w:val="center"/>
              <w:rPr>
                <w:sz w:val="16"/>
                <w:szCs w:val="16"/>
              </w:rPr>
            </w:pPr>
            <w:r>
              <w:rPr>
                <w:sz w:val="16"/>
                <w:szCs w:val="16"/>
              </w:rPr>
              <w:t>Вид платежа</w:t>
            </w:r>
          </w:p>
        </w:tc>
        <w:tc>
          <w:tcPr>
            <w:tcW w:w="86" w:type="dxa"/>
            <w:tcBorders>
              <w:top w:val="nil"/>
              <w:left w:val="nil"/>
              <w:bottom w:val="nil"/>
              <w:right w:val="nil"/>
            </w:tcBorders>
            <w:vAlign w:val="bottom"/>
          </w:tcPr>
          <w:p w:rsidR="004A62E9" w:rsidRDefault="004A62E9">
            <w:pPr>
              <w:jc w:val="center"/>
              <w:rPr>
                <w:sz w:val="16"/>
                <w:szCs w:val="16"/>
              </w:rPr>
            </w:pPr>
          </w:p>
        </w:tc>
        <w:tc>
          <w:tcPr>
            <w:tcW w:w="1927" w:type="dxa"/>
            <w:tcBorders>
              <w:top w:val="nil"/>
              <w:left w:val="nil"/>
              <w:bottom w:val="nil"/>
              <w:right w:val="nil"/>
            </w:tcBorders>
            <w:vAlign w:val="bottom"/>
          </w:tcPr>
          <w:p w:rsidR="004A62E9" w:rsidRDefault="004A62E9">
            <w:pPr>
              <w:jc w:val="center"/>
              <w:rPr>
                <w:sz w:val="16"/>
                <w:szCs w:val="16"/>
              </w:rPr>
            </w:pPr>
          </w:p>
        </w:tc>
      </w:tr>
    </w:tbl>
    <w:p w:rsidR="004A62E9" w:rsidRDefault="004A62E9">
      <w:pPr>
        <w:rPr>
          <w:sz w:val="16"/>
          <w:szCs w:val="16"/>
        </w:rPr>
      </w:pPr>
    </w:p>
    <w:tbl>
      <w:tblPr>
        <w:tblW w:w="1026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835"/>
        <w:gridCol w:w="284"/>
        <w:gridCol w:w="850"/>
        <w:gridCol w:w="851"/>
        <w:gridCol w:w="1134"/>
        <w:gridCol w:w="1134"/>
        <w:gridCol w:w="338"/>
      </w:tblGrid>
      <w:tr w:rsidR="004A62E9" w:rsidTr="000F78B1">
        <w:trPr>
          <w:trHeight w:val="552"/>
        </w:trPr>
        <w:tc>
          <w:tcPr>
            <w:tcW w:w="2835" w:type="dxa"/>
            <w:tcBorders>
              <w:top w:val="nil"/>
              <w:left w:val="nil"/>
            </w:tcBorders>
          </w:tcPr>
          <w:p w:rsidR="004A62E9" w:rsidRDefault="004A62E9" w:rsidP="00AB274C">
            <w:pPr>
              <w:ind w:left="57"/>
            </w:pPr>
            <w:r>
              <w:t>Сумма</w:t>
            </w:r>
            <w:r w:rsidR="00AB274C">
              <w:br/>
            </w:r>
            <w:r>
              <w:t>прописью</w:t>
            </w:r>
          </w:p>
        </w:tc>
        <w:tc>
          <w:tcPr>
            <w:tcW w:w="7426" w:type="dxa"/>
            <w:gridSpan w:val="7"/>
            <w:tcBorders>
              <w:top w:val="nil"/>
              <w:right w:val="nil"/>
            </w:tcBorders>
          </w:tcPr>
          <w:p w:rsidR="004A62E9" w:rsidRPr="00052C4C" w:rsidRDefault="00052C4C" w:rsidP="004D7902">
            <w:pPr>
              <w:ind w:left="57"/>
              <w:rPr>
                <w:b/>
              </w:rPr>
            </w:pPr>
            <w:r w:rsidRPr="00052C4C">
              <w:rPr>
                <w:b/>
              </w:rPr>
              <w:t>Сто тысяч рублей</w:t>
            </w:r>
          </w:p>
        </w:tc>
      </w:tr>
      <w:tr w:rsidR="004A62E9" w:rsidTr="000F78B1">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tcBorders>
              <w:top w:val="nil"/>
              <w:left w:val="nil"/>
              <w:bottom w:val="single" w:sz="4" w:space="0" w:color="auto"/>
              <w:right w:val="single" w:sz="4" w:space="0" w:color="auto"/>
            </w:tcBorders>
            <w:vAlign w:val="center"/>
          </w:tcPr>
          <w:p w:rsidR="000F78B1" w:rsidRDefault="000F78B1" w:rsidP="00C277E2">
            <w:pPr>
              <w:ind w:left="57"/>
            </w:pPr>
            <w:r w:rsidRPr="000F78B1">
              <w:t>ИНН</w:t>
            </w:r>
            <w:r>
              <w:t xml:space="preserve"> </w:t>
            </w:r>
            <w:r w:rsidR="00EB7C33" w:rsidRPr="00F51F3F">
              <w:rPr>
                <w:color w:val="FF0000"/>
              </w:rPr>
              <w:t xml:space="preserve">(налогоплательщика) </w:t>
            </w:r>
          </w:p>
        </w:tc>
        <w:tc>
          <w:tcPr>
            <w:tcW w:w="2835" w:type="dxa"/>
            <w:tcBorders>
              <w:top w:val="nil"/>
              <w:left w:val="nil"/>
              <w:bottom w:val="single" w:sz="4" w:space="0" w:color="auto"/>
              <w:right w:val="single" w:sz="4" w:space="0" w:color="auto"/>
            </w:tcBorders>
            <w:vAlign w:val="center"/>
          </w:tcPr>
          <w:p w:rsidR="002F2BBB" w:rsidRDefault="00704703" w:rsidP="00AB274C">
            <w:pPr>
              <w:ind w:left="57"/>
              <w:rPr>
                <w:b/>
                <w:color w:val="0070C0"/>
              </w:rPr>
            </w:pPr>
            <w:r w:rsidRPr="000F78B1">
              <w:t xml:space="preserve">КПП </w:t>
            </w:r>
            <w:r w:rsidR="008846C7" w:rsidRPr="00554089">
              <w:rPr>
                <w:b/>
                <w:color w:val="0070C0"/>
              </w:rPr>
              <w:t>0</w:t>
            </w:r>
            <w:r w:rsidR="002F2BBB">
              <w:rPr>
                <w:b/>
                <w:color w:val="0070C0"/>
              </w:rPr>
              <w:t xml:space="preserve"> </w:t>
            </w:r>
          </w:p>
          <w:p w:rsidR="00704703" w:rsidRDefault="002F2BBB" w:rsidP="002F2BBB">
            <w:pPr>
              <w:ind w:left="57"/>
            </w:pPr>
            <w:r w:rsidRPr="002F2BBB">
              <w:rPr>
                <w:color w:val="0070C0"/>
              </w:rPr>
              <w:t xml:space="preserve">или </w:t>
            </w:r>
            <w:r>
              <w:rPr>
                <w:color w:val="0070C0"/>
              </w:rPr>
              <w:t>головной организации</w:t>
            </w:r>
          </w:p>
        </w:tc>
        <w:tc>
          <w:tcPr>
            <w:tcW w:w="1134" w:type="dxa"/>
            <w:gridSpan w:val="2"/>
            <w:vMerge w:val="restart"/>
            <w:tcBorders>
              <w:top w:val="nil"/>
              <w:left w:val="nil"/>
              <w:bottom w:val="nil"/>
              <w:right w:val="single" w:sz="4" w:space="0" w:color="auto"/>
            </w:tcBorders>
          </w:tcPr>
          <w:p w:rsidR="004A62E9" w:rsidRDefault="004A62E9">
            <w:pPr>
              <w:ind w:left="57"/>
            </w:pPr>
            <w:r>
              <w:t>Сумма</w:t>
            </w:r>
          </w:p>
        </w:tc>
        <w:tc>
          <w:tcPr>
            <w:tcW w:w="3457" w:type="dxa"/>
            <w:gridSpan w:val="4"/>
            <w:vMerge w:val="restart"/>
            <w:tcBorders>
              <w:top w:val="nil"/>
              <w:left w:val="nil"/>
              <w:bottom w:val="nil"/>
              <w:right w:val="nil"/>
            </w:tcBorders>
          </w:tcPr>
          <w:p w:rsidR="004A62E9" w:rsidRPr="004710E6" w:rsidRDefault="00554089" w:rsidP="00C6649F">
            <w:pPr>
              <w:ind w:left="57"/>
              <w:rPr>
                <w:b/>
              </w:rPr>
            </w:pPr>
            <w:r>
              <w:rPr>
                <w:b/>
                <w:color w:val="FF0000"/>
              </w:rPr>
              <w:t>Указывается конкретная сумма</w:t>
            </w:r>
          </w:p>
        </w:tc>
      </w:tr>
      <w:tr w:rsidR="004A62E9" w:rsidTr="008846C7">
        <w:tblPrEx>
          <w:tblBorders>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5670" w:type="dxa"/>
            <w:gridSpan w:val="2"/>
            <w:vMerge w:val="restart"/>
            <w:tcBorders>
              <w:top w:val="nil"/>
              <w:left w:val="nil"/>
              <w:bottom w:val="nil"/>
              <w:right w:val="single" w:sz="4" w:space="0" w:color="auto"/>
            </w:tcBorders>
          </w:tcPr>
          <w:p w:rsidR="004A62E9" w:rsidRPr="00D9078E" w:rsidRDefault="00D9078E" w:rsidP="00EB7C33">
            <w:pPr>
              <w:ind w:left="57"/>
            </w:pPr>
            <w:r>
              <w:t xml:space="preserve">Плательщик </w:t>
            </w:r>
            <w:r w:rsidR="00EB7C33" w:rsidRPr="00F51F3F">
              <w:rPr>
                <w:color w:val="FF0000"/>
              </w:rPr>
              <w:t>(наименование налогоплательщика)</w:t>
            </w:r>
            <w:r w:rsidRPr="00F51F3F">
              <w:rPr>
                <w:b/>
                <w:color w:val="FF0000"/>
              </w:rPr>
              <w:t xml:space="preserve"> </w:t>
            </w:r>
          </w:p>
        </w:tc>
        <w:tc>
          <w:tcPr>
            <w:tcW w:w="1134" w:type="dxa"/>
            <w:gridSpan w:val="2"/>
            <w:vMerge/>
            <w:tcBorders>
              <w:top w:val="nil"/>
              <w:left w:val="single" w:sz="4" w:space="0" w:color="auto"/>
              <w:bottom w:val="single" w:sz="4" w:space="0" w:color="auto"/>
              <w:right w:val="single" w:sz="4" w:space="0" w:color="auto"/>
            </w:tcBorders>
          </w:tcPr>
          <w:p w:rsidR="004A62E9" w:rsidRDefault="004A62E9">
            <w:pPr>
              <w:ind w:left="57"/>
            </w:pPr>
          </w:p>
        </w:tc>
        <w:tc>
          <w:tcPr>
            <w:tcW w:w="3457" w:type="dxa"/>
            <w:gridSpan w:val="4"/>
            <w:vMerge/>
            <w:tcBorders>
              <w:top w:val="nil"/>
              <w:left w:val="nil"/>
              <w:bottom w:val="single" w:sz="4" w:space="0" w:color="auto"/>
              <w:right w:val="nil"/>
            </w:tcBorders>
          </w:tcPr>
          <w:p w:rsidR="004A62E9" w:rsidRDefault="004A62E9">
            <w:pPr>
              <w:jc w:val="center"/>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2"/>
            <w:vMerge/>
            <w:tcBorders>
              <w:top w:val="nil"/>
              <w:left w:val="nil"/>
              <w:bottom w:val="nil"/>
              <w:right w:val="single" w:sz="4" w:space="0" w:color="auto"/>
            </w:tcBorders>
          </w:tcPr>
          <w:p w:rsidR="004A62E9" w:rsidRDefault="004A62E9" w:rsidP="00AB274C">
            <w:pPr>
              <w:ind w:left="57"/>
            </w:pPr>
          </w:p>
        </w:tc>
        <w:tc>
          <w:tcPr>
            <w:tcW w:w="1134" w:type="dxa"/>
            <w:gridSpan w:val="2"/>
            <w:vMerge w:val="restart"/>
            <w:tcBorders>
              <w:top w:val="single" w:sz="4" w:space="0" w:color="auto"/>
              <w:left w:val="nil"/>
              <w:bottom w:val="nil"/>
              <w:right w:val="single" w:sz="4" w:space="0" w:color="auto"/>
            </w:tcBorders>
          </w:tcPr>
          <w:p w:rsidR="004A62E9" w:rsidRDefault="004A62E9">
            <w:pPr>
              <w:ind w:left="57"/>
            </w:pPr>
            <w:proofErr w:type="spellStart"/>
            <w:r>
              <w:t>Сч</w:t>
            </w:r>
            <w:proofErr w:type="spellEnd"/>
            <w:r>
              <w:t>. №</w:t>
            </w:r>
          </w:p>
        </w:tc>
        <w:tc>
          <w:tcPr>
            <w:tcW w:w="3457" w:type="dxa"/>
            <w:gridSpan w:val="4"/>
            <w:vMerge w:val="restart"/>
            <w:tcBorders>
              <w:top w:val="single" w:sz="4" w:space="0" w:color="auto"/>
              <w:left w:val="nil"/>
              <w:bottom w:val="nil"/>
              <w:right w:val="nil"/>
            </w:tcBorders>
          </w:tcPr>
          <w:p w:rsidR="004A62E9" w:rsidRPr="004710E6" w:rsidRDefault="005E07C2" w:rsidP="0092106E">
            <w:pPr>
              <w:ind w:left="57"/>
              <w:rPr>
                <w:i/>
              </w:rPr>
            </w:pPr>
            <w:r>
              <w:rPr>
                <w:i/>
              </w:rPr>
              <w:t>Счет налогоплательщика</w:t>
            </w: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2"/>
            <w:tcBorders>
              <w:top w:val="nil"/>
              <w:left w:val="nil"/>
              <w:bottom w:val="single" w:sz="4" w:space="0" w:color="auto"/>
              <w:right w:val="single" w:sz="4" w:space="0" w:color="auto"/>
            </w:tcBorders>
            <w:vAlign w:val="center"/>
          </w:tcPr>
          <w:p w:rsidR="004A62E9" w:rsidRDefault="004A62E9" w:rsidP="004710E6">
            <w:pPr>
              <w:ind w:left="57"/>
            </w:pPr>
          </w:p>
        </w:tc>
        <w:tc>
          <w:tcPr>
            <w:tcW w:w="1134" w:type="dxa"/>
            <w:gridSpan w:val="2"/>
            <w:vMerge/>
            <w:tcBorders>
              <w:top w:val="nil"/>
              <w:left w:val="nil"/>
              <w:bottom w:val="single" w:sz="4" w:space="0" w:color="auto"/>
              <w:right w:val="single" w:sz="4" w:space="0" w:color="auto"/>
            </w:tcBorders>
          </w:tcPr>
          <w:p w:rsidR="004A62E9" w:rsidRDefault="004A62E9">
            <w:pPr>
              <w:ind w:left="57"/>
            </w:pPr>
          </w:p>
        </w:tc>
        <w:tc>
          <w:tcPr>
            <w:tcW w:w="3457" w:type="dxa"/>
            <w:gridSpan w:val="4"/>
            <w:vMerge/>
            <w:tcBorders>
              <w:top w:val="nil"/>
              <w:left w:val="nil"/>
              <w:bottom w:val="nil"/>
              <w:right w:val="nil"/>
            </w:tcBorders>
          </w:tcPr>
          <w:p w:rsidR="004A62E9" w:rsidRPr="004710E6" w:rsidRDefault="004A62E9">
            <w:pPr>
              <w:jc w:val="center"/>
              <w:rPr>
                <w:i/>
              </w:rPr>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2"/>
            <w:vMerge w:val="restart"/>
            <w:tcBorders>
              <w:top w:val="nil"/>
              <w:left w:val="nil"/>
              <w:bottom w:val="nil"/>
              <w:right w:val="nil"/>
            </w:tcBorders>
          </w:tcPr>
          <w:p w:rsidR="004A62E9" w:rsidRPr="00B74F1E" w:rsidRDefault="004A62E9" w:rsidP="00AB274C">
            <w:pPr>
              <w:ind w:left="57"/>
            </w:pPr>
          </w:p>
        </w:tc>
        <w:tc>
          <w:tcPr>
            <w:tcW w:w="1134" w:type="dxa"/>
            <w:gridSpan w:val="2"/>
            <w:tcBorders>
              <w:top w:val="single" w:sz="4" w:space="0" w:color="auto"/>
              <w:left w:val="single" w:sz="4" w:space="0" w:color="auto"/>
              <w:bottom w:val="single" w:sz="4" w:space="0" w:color="auto"/>
              <w:right w:val="single" w:sz="4" w:space="0" w:color="auto"/>
            </w:tcBorders>
          </w:tcPr>
          <w:p w:rsidR="004A62E9" w:rsidRDefault="004A62E9">
            <w:pPr>
              <w:ind w:left="57"/>
            </w:pPr>
            <w:r>
              <w:t>БИК</w:t>
            </w:r>
          </w:p>
        </w:tc>
        <w:tc>
          <w:tcPr>
            <w:tcW w:w="3457" w:type="dxa"/>
            <w:gridSpan w:val="4"/>
            <w:tcBorders>
              <w:top w:val="nil"/>
              <w:left w:val="nil"/>
              <w:bottom w:val="nil"/>
              <w:right w:val="nil"/>
            </w:tcBorders>
          </w:tcPr>
          <w:p w:rsidR="004A62E9" w:rsidRPr="005E07C2" w:rsidRDefault="005E07C2" w:rsidP="005E07C2">
            <w:pPr>
              <w:ind w:left="57"/>
              <w:rPr>
                <w:i/>
              </w:rPr>
            </w:pPr>
            <w:r>
              <w:rPr>
                <w:i/>
              </w:rPr>
              <w:t>БИК банка налогоплательщика</w:t>
            </w: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2"/>
            <w:vMerge/>
            <w:tcBorders>
              <w:top w:val="nil"/>
              <w:left w:val="nil"/>
              <w:bottom w:val="nil"/>
              <w:right w:val="nil"/>
            </w:tcBorders>
            <w:vAlign w:val="bottom"/>
          </w:tcPr>
          <w:p w:rsidR="004A62E9" w:rsidRDefault="004A62E9" w:rsidP="00AB274C">
            <w:pPr>
              <w:ind w:left="57"/>
            </w:pPr>
          </w:p>
        </w:tc>
        <w:tc>
          <w:tcPr>
            <w:tcW w:w="1134" w:type="dxa"/>
            <w:gridSpan w:val="2"/>
            <w:vMerge w:val="restart"/>
            <w:tcBorders>
              <w:top w:val="single" w:sz="4" w:space="0" w:color="auto"/>
              <w:left w:val="single" w:sz="4" w:space="0" w:color="auto"/>
              <w:bottom w:val="nil"/>
              <w:right w:val="single" w:sz="4" w:space="0" w:color="auto"/>
            </w:tcBorders>
          </w:tcPr>
          <w:p w:rsidR="004A62E9" w:rsidRDefault="004A62E9">
            <w:pPr>
              <w:ind w:left="57"/>
            </w:pPr>
            <w:proofErr w:type="spellStart"/>
            <w:r>
              <w:t>Сч</w:t>
            </w:r>
            <w:proofErr w:type="spellEnd"/>
            <w:r>
              <w:t>. №</w:t>
            </w:r>
          </w:p>
        </w:tc>
        <w:tc>
          <w:tcPr>
            <w:tcW w:w="3457" w:type="dxa"/>
            <w:gridSpan w:val="4"/>
            <w:vMerge w:val="restart"/>
            <w:tcBorders>
              <w:top w:val="nil"/>
              <w:left w:val="nil"/>
              <w:bottom w:val="nil"/>
              <w:right w:val="nil"/>
            </w:tcBorders>
          </w:tcPr>
          <w:p w:rsidR="004A62E9" w:rsidRPr="005E07C2" w:rsidRDefault="00620292" w:rsidP="0092106E">
            <w:pPr>
              <w:ind w:left="57"/>
              <w:rPr>
                <w:i/>
              </w:rPr>
            </w:pPr>
            <w:r>
              <w:rPr>
                <w:i/>
              </w:rPr>
              <w:t>С</w:t>
            </w:r>
            <w:r w:rsidR="005E07C2">
              <w:rPr>
                <w:i/>
              </w:rPr>
              <w:t xml:space="preserve">чет </w:t>
            </w:r>
            <w:r>
              <w:rPr>
                <w:i/>
              </w:rPr>
              <w:t>банка</w:t>
            </w:r>
            <w:r w:rsidR="002F2BBB">
              <w:rPr>
                <w:i/>
              </w:rPr>
              <w:t xml:space="preserve"> налогоплательщика</w:t>
            </w: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2"/>
            <w:tcBorders>
              <w:top w:val="nil"/>
              <w:left w:val="nil"/>
              <w:bottom w:val="single" w:sz="4" w:space="0" w:color="auto"/>
              <w:right w:val="nil"/>
            </w:tcBorders>
            <w:vAlign w:val="center"/>
          </w:tcPr>
          <w:p w:rsidR="004A62E9" w:rsidRDefault="004A62E9" w:rsidP="004710E6">
            <w:pPr>
              <w:ind w:left="57"/>
            </w:pPr>
            <w:r>
              <w:t>Банк плательщика</w:t>
            </w:r>
            <w:r w:rsidR="008C0969" w:rsidRPr="00554089">
              <w:t xml:space="preserve"> </w:t>
            </w:r>
            <w:r w:rsidR="00554089" w:rsidRPr="00C748AA">
              <w:rPr>
                <w:b/>
                <w:i/>
              </w:rPr>
              <w:t>(наименование банка налогоплательщика)</w:t>
            </w:r>
          </w:p>
        </w:tc>
        <w:tc>
          <w:tcPr>
            <w:tcW w:w="1134" w:type="dxa"/>
            <w:gridSpan w:val="2"/>
            <w:vMerge/>
            <w:tcBorders>
              <w:top w:val="nil"/>
              <w:left w:val="single" w:sz="4" w:space="0" w:color="auto"/>
              <w:bottom w:val="single" w:sz="4" w:space="0" w:color="auto"/>
              <w:right w:val="single" w:sz="4" w:space="0" w:color="auto"/>
            </w:tcBorders>
          </w:tcPr>
          <w:p w:rsidR="004A62E9" w:rsidRDefault="004A62E9">
            <w:pPr>
              <w:ind w:left="57"/>
            </w:pPr>
          </w:p>
        </w:tc>
        <w:tc>
          <w:tcPr>
            <w:tcW w:w="3457" w:type="dxa"/>
            <w:gridSpan w:val="4"/>
            <w:vMerge/>
            <w:tcBorders>
              <w:top w:val="nil"/>
              <w:left w:val="nil"/>
              <w:bottom w:val="single" w:sz="4" w:space="0" w:color="auto"/>
              <w:right w:val="nil"/>
            </w:tcBorders>
          </w:tcPr>
          <w:p w:rsidR="004A62E9" w:rsidRDefault="004A62E9">
            <w:pPr>
              <w:ind w:left="57"/>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2"/>
            <w:vMerge w:val="restart"/>
            <w:tcBorders>
              <w:top w:val="nil"/>
              <w:left w:val="nil"/>
              <w:bottom w:val="nil"/>
              <w:right w:val="nil"/>
            </w:tcBorders>
          </w:tcPr>
          <w:p w:rsidR="004A62E9" w:rsidRPr="005B60D1" w:rsidRDefault="005B60D1" w:rsidP="00AB274C">
            <w:pPr>
              <w:ind w:left="57"/>
            </w:pPr>
            <w:r w:rsidRPr="0030592E">
              <w:rPr>
                <w:b/>
                <w:color w:val="0070C0"/>
              </w:rPr>
              <w:t xml:space="preserve">Банк получателя ОТДЕЛЕНИЕ ТУЛА БАНКА РОССИИ//УФК по Тульской области, </w:t>
            </w:r>
            <w:proofErr w:type="gramStart"/>
            <w:r w:rsidRPr="0030592E">
              <w:rPr>
                <w:b/>
                <w:color w:val="0070C0"/>
              </w:rPr>
              <w:t>г</w:t>
            </w:r>
            <w:proofErr w:type="gramEnd"/>
            <w:r w:rsidRPr="0030592E">
              <w:rPr>
                <w:b/>
                <w:color w:val="0070C0"/>
              </w:rPr>
              <w:t xml:space="preserve"> Тула</w:t>
            </w:r>
          </w:p>
        </w:tc>
        <w:tc>
          <w:tcPr>
            <w:tcW w:w="1134" w:type="dxa"/>
            <w:gridSpan w:val="2"/>
            <w:tcBorders>
              <w:top w:val="single" w:sz="4" w:space="0" w:color="auto"/>
              <w:left w:val="single" w:sz="4" w:space="0" w:color="auto"/>
              <w:bottom w:val="single" w:sz="4" w:space="0" w:color="auto"/>
              <w:right w:val="single" w:sz="4" w:space="0" w:color="auto"/>
            </w:tcBorders>
          </w:tcPr>
          <w:p w:rsidR="004A62E9" w:rsidRDefault="004A62E9">
            <w:pPr>
              <w:ind w:left="57"/>
            </w:pPr>
            <w:r>
              <w:t>БИК</w:t>
            </w:r>
          </w:p>
        </w:tc>
        <w:tc>
          <w:tcPr>
            <w:tcW w:w="3457" w:type="dxa"/>
            <w:gridSpan w:val="4"/>
            <w:tcBorders>
              <w:top w:val="nil"/>
              <w:left w:val="nil"/>
              <w:bottom w:val="nil"/>
              <w:right w:val="nil"/>
            </w:tcBorders>
          </w:tcPr>
          <w:p w:rsidR="004A62E9" w:rsidRPr="00C277E2" w:rsidRDefault="004710E6" w:rsidP="00D9078E">
            <w:pPr>
              <w:ind w:left="57"/>
              <w:rPr>
                <w:b/>
                <w:color w:val="0070C0"/>
              </w:rPr>
            </w:pPr>
            <w:r w:rsidRPr="00C277E2">
              <w:rPr>
                <w:rFonts w:cstheme="minorBidi"/>
                <w:b/>
                <w:color w:val="0070C0"/>
                <w:sz w:val="22"/>
                <w:szCs w:val="22"/>
              </w:rPr>
              <w:t>017003983</w:t>
            </w:r>
            <w:r w:rsidR="00D9078E" w:rsidRPr="00C277E2">
              <w:rPr>
                <w:rFonts w:cstheme="minorBidi"/>
                <w:b/>
                <w:color w:val="0070C0"/>
                <w:sz w:val="22"/>
                <w:szCs w:val="22"/>
              </w:rPr>
              <w:t xml:space="preserve"> </w:t>
            </w: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5670" w:type="dxa"/>
            <w:gridSpan w:val="2"/>
            <w:vMerge/>
            <w:tcBorders>
              <w:top w:val="nil"/>
              <w:left w:val="nil"/>
              <w:bottom w:val="nil"/>
              <w:right w:val="nil"/>
            </w:tcBorders>
          </w:tcPr>
          <w:p w:rsidR="004A62E9" w:rsidRDefault="004A62E9" w:rsidP="00AB274C">
            <w:pPr>
              <w:ind w:left="57"/>
            </w:pPr>
          </w:p>
        </w:tc>
        <w:tc>
          <w:tcPr>
            <w:tcW w:w="1134" w:type="dxa"/>
            <w:gridSpan w:val="2"/>
            <w:vMerge w:val="restart"/>
            <w:tcBorders>
              <w:top w:val="single" w:sz="4" w:space="0" w:color="auto"/>
              <w:left w:val="single" w:sz="4" w:space="0" w:color="auto"/>
              <w:bottom w:val="nil"/>
              <w:right w:val="single" w:sz="4" w:space="0" w:color="auto"/>
            </w:tcBorders>
          </w:tcPr>
          <w:p w:rsidR="004A62E9" w:rsidRDefault="004A62E9">
            <w:pPr>
              <w:ind w:left="57"/>
            </w:pPr>
            <w:proofErr w:type="spellStart"/>
            <w:r>
              <w:t>Сч</w:t>
            </w:r>
            <w:proofErr w:type="spellEnd"/>
            <w:r>
              <w:t>. №</w:t>
            </w:r>
          </w:p>
        </w:tc>
        <w:tc>
          <w:tcPr>
            <w:tcW w:w="3457" w:type="dxa"/>
            <w:gridSpan w:val="4"/>
            <w:vMerge w:val="restart"/>
            <w:tcBorders>
              <w:top w:val="nil"/>
              <w:left w:val="nil"/>
              <w:bottom w:val="nil"/>
              <w:right w:val="nil"/>
            </w:tcBorders>
          </w:tcPr>
          <w:p w:rsidR="004A62E9" w:rsidRPr="00C277E2" w:rsidRDefault="004710E6" w:rsidP="00D9078E">
            <w:pPr>
              <w:ind w:left="57"/>
              <w:rPr>
                <w:b/>
                <w:color w:val="0070C0"/>
              </w:rPr>
            </w:pPr>
            <w:r w:rsidRPr="00C277E2">
              <w:rPr>
                <w:rFonts w:cstheme="minorBidi"/>
                <w:b/>
                <w:color w:val="0070C0"/>
                <w:sz w:val="22"/>
                <w:szCs w:val="22"/>
              </w:rPr>
              <w:t>40102810445370000059</w:t>
            </w:r>
            <w:r w:rsidR="00D9078E" w:rsidRPr="00C277E2">
              <w:rPr>
                <w:rFonts w:cstheme="minorBidi"/>
                <w:b/>
                <w:color w:val="0070C0"/>
                <w:sz w:val="22"/>
                <w:szCs w:val="22"/>
              </w:rPr>
              <w:t xml:space="preserve"> </w:t>
            </w: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2"/>
            <w:tcBorders>
              <w:top w:val="nil"/>
              <w:left w:val="nil"/>
              <w:bottom w:val="nil"/>
              <w:right w:val="nil"/>
            </w:tcBorders>
            <w:vAlign w:val="center"/>
          </w:tcPr>
          <w:p w:rsidR="004A62E9" w:rsidRPr="004710E6" w:rsidRDefault="004A62E9" w:rsidP="00D9078E">
            <w:pPr>
              <w:ind w:left="57"/>
            </w:pPr>
          </w:p>
        </w:tc>
        <w:tc>
          <w:tcPr>
            <w:tcW w:w="1134" w:type="dxa"/>
            <w:gridSpan w:val="2"/>
            <w:vMerge/>
            <w:tcBorders>
              <w:top w:val="nil"/>
              <w:left w:val="single" w:sz="4" w:space="0" w:color="auto"/>
              <w:bottom w:val="nil"/>
              <w:right w:val="single" w:sz="4" w:space="0" w:color="auto"/>
            </w:tcBorders>
          </w:tcPr>
          <w:p w:rsidR="004A62E9" w:rsidRDefault="004A62E9">
            <w:pPr>
              <w:ind w:left="57"/>
            </w:pPr>
          </w:p>
        </w:tc>
        <w:tc>
          <w:tcPr>
            <w:tcW w:w="3457" w:type="dxa"/>
            <w:gridSpan w:val="4"/>
            <w:vMerge/>
            <w:tcBorders>
              <w:top w:val="nil"/>
              <w:left w:val="nil"/>
              <w:bottom w:val="nil"/>
              <w:right w:val="nil"/>
            </w:tcBorders>
          </w:tcPr>
          <w:p w:rsidR="004A62E9" w:rsidRPr="00C277E2" w:rsidRDefault="004A62E9">
            <w:pPr>
              <w:ind w:left="57"/>
              <w:rPr>
                <w:color w:val="0070C0"/>
              </w:rPr>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tcBorders>
              <w:top w:val="single" w:sz="4" w:space="0" w:color="auto"/>
              <w:left w:val="nil"/>
              <w:bottom w:val="single" w:sz="4" w:space="0" w:color="auto"/>
              <w:right w:val="single" w:sz="4" w:space="0" w:color="auto"/>
            </w:tcBorders>
            <w:vAlign w:val="center"/>
          </w:tcPr>
          <w:p w:rsidR="004A62E9" w:rsidRPr="00C6649F" w:rsidRDefault="004A62E9" w:rsidP="00D9078E">
            <w:pPr>
              <w:ind w:left="-28"/>
            </w:pPr>
            <w:r w:rsidRPr="00C6649F">
              <w:t xml:space="preserve">ИНН </w:t>
            </w:r>
            <w:r w:rsidR="00C6649F" w:rsidRPr="00554089">
              <w:rPr>
                <w:b/>
                <w:bCs/>
                <w:color w:val="0070C0"/>
              </w:rPr>
              <w:t xml:space="preserve">7727406020 </w:t>
            </w:r>
          </w:p>
        </w:tc>
        <w:tc>
          <w:tcPr>
            <w:tcW w:w="2835" w:type="dxa"/>
            <w:tcBorders>
              <w:top w:val="single" w:sz="4" w:space="0" w:color="auto"/>
              <w:left w:val="single" w:sz="4" w:space="0" w:color="auto"/>
              <w:bottom w:val="single" w:sz="4" w:space="0" w:color="auto"/>
              <w:right w:val="nil"/>
            </w:tcBorders>
            <w:vAlign w:val="center"/>
          </w:tcPr>
          <w:p w:rsidR="004A62E9" w:rsidRPr="00C6649F" w:rsidRDefault="004A62E9" w:rsidP="00D9078E">
            <w:pPr>
              <w:ind w:left="57"/>
            </w:pPr>
            <w:r w:rsidRPr="00C6649F">
              <w:t>КПП</w:t>
            </w:r>
            <w:r w:rsidRPr="00F51F3F">
              <w:rPr>
                <w:color w:val="FF0000"/>
              </w:rPr>
              <w:t xml:space="preserve"> </w:t>
            </w:r>
            <w:r w:rsidR="00C6649F" w:rsidRPr="00554089">
              <w:rPr>
                <w:b/>
                <w:bCs/>
                <w:color w:val="0070C0"/>
              </w:rPr>
              <w:t>770801001</w:t>
            </w:r>
          </w:p>
        </w:tc>
        <w:tc>
          <w:tcPr>
            <w:tcW w:w="1134" w:type="dxa"/>
            <w:gridSpan w:val="2"/>
            <w:vMerge w:val="restart"/>
            <w:tcBorders>
              <w:top w:val="single" w:sz="4" w:space="0" w:color="auto"/>
              <w:left w:val="single" w:sz="4" w:space="0" w:color="auto"/>
              <w:bottom w:val="nil"/>
              <w:right w:val="single" w:sz="4" w:space="0" w:color="auto"/>
            </w:tcBorders>
          </w:tcPr>
          <w:p w:rsidR="004A62E9" w:rsidRDefault="004A62E9">
            <w:pPr>
              <w:ind w:left="57"/>
            </w:pPr>
            <w:proofErr w:type="spellStart"/>
            <w:r>
              <w:t>Сч</w:t>
            </w:r>
            <w:proofErr w:type="spellEnd"/>
            <w:r>
              <w:t>. №</w:t>
            </w:r>
          </w:p>
        </w:tc>
        <w:tc>
          <w:tcPr>
            <w:tcW w:w="3457" w:type="dxa"/>
            <w:gridSpan w:val="4"/>
            <w:vMerge w:val="restart"/>
            <w:tcBorders>
              <w:top w:val="nil"/>
              <w:left w:val="nil"/>
              <w:bottom w:val="nil"/>
              <w:right w:val="nil"/>
            </w:tcBorders>
          </w:tcPr>
          <w:p w:rsidR="004A62E9" w:rsidRPr="00C277E2" w:rsidRDefault="004710E6" w:rsidP="00D9078E">
            <w:pPr>
              <w:ind w:left="57"/>
              <w:rPr>
                <w:b/>
                <w:color w:val="0070C0"/>
              </w:rPr>
            </w:pPr>
            <w:r w:rsidRPr="00C277E2">
              <w:rPr>
                <w:rFonts w:cstheme="minorBidi"/>
                <w:b/>
                <w:color w:val="0070C0"/>
                <w:sz w:val="22"/>
                <w:szCs w:val="22"/>
              </w:rPr>
              <w:t>03100643000000018500</w:t>
            </w:r>
            <w:r w:rsidR="00D9078E" w:rsidRPr="00C277E2">
              <w:rPr>
                <w:rFonts w:cstheme="minorBidi"/>
                <w:b/>
                <w:color w:val="0070C0"/>
                <w:sz w:val="22"/>
                <w:szCs w:val="22"/>
              </w:rPr>
              <w:t xml:space="preserve"> </w:t>
            </w:r>
          </w:p>
        </w:tc>
      </w:tr>
      <w:tr w:rsidR="004A62E9" w:rsidTr="0092106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5670" w:type="dxa"/>
            <w:gridSpan w:val="2"/>
            <w:vMerge w:val="restart"/>
            <w:tcBorders>
              <w:top w:val="nil"/>
              <w:left w:val="nil"/>
              <w:bottom w:val="nil"/>
              <w:right w:val="nil"/>
            </w:tcBorders>
          </w:tcPr>
          <w:p w:rsidR="00D9078E" w:rsidRPr="00C277E2" w:rsidRDefault="00D9078E" w:rsidP="00D9078E">
            <w:pPr>
              <w:ind w:left="57"/>
              <w:rPr>
                <w:b/>
                <w:color w:val="0070C0"/>
              </w:rPr>
            </w:pPr>
            <w:r>
              <w:t xml:space="preserve">Получатель: </w:t>
            </w:r>
            <w:r w:rsidRPr="00C277E2">
              <w:rPr>
                <w:b/>
                <w:color w:val="0070C0"/>
              </w:rPr>
              <w:t>Управление Федерального казначейства по Тульской области (Межрегиональная инспекция Федеральной налоговой службы по управлению долгом)</w:t>
            </w:r>
          </w:p>
          <w:p w:rsidR="004A62E9" w:rsidRDefault="004A62E9" w:rsidP="00D9078E">
            <w:pPr>
              <w:ind w:left="57"/>
            </w:pPr>
          </w:p>
        </w:tc>
        <w:tc>
          <w:tcPr>
            <w:tcW w:w="1134" w:type="dxa"/>
            <w:gridSpan w:val="2"/>
            <w:vMerge/>
            <w:tcBorders>
              <w:top w:val="nil"/>
              <w:left w:val="single" w:sz="4" w:space="0" w:color="auto"/>
              <w:bottom w:val="single" w:sz="4" w:space="0" w:color="auto"/>
              <w:right w:val="single" w:sz="4" w:space="0" w:color="auto"/>
            </w:tcBorders>
          </w:tcPr>
          <w:p w:rsidR="004A62E9" w:rsidRDefault="004A62E9">
            <w:pPr>
              <w:ind w:left="57"/>
            </w:pPr>
          </w:p>
        </w:tc>
        <w:tc>
          <w:tcPr>
            <w:tcW w:w="3457" w:type="dxa"/>
            <w:gridSpan w:val="4"/>
            <w:vMerge/>
            <w:tcBorders>
              <w:top w:val="nil"/>
              <w:left w:val="nil"/>
              <w:bottom w:val="nil"/>
              <w:right w:val="nil"/>
            </w:tcBorders>
          </w:tcPr>
          <w:p w:rsidR="004A62E9" w:rsidRDefault="004A62E9">
            <w:pPr>
              <w:jc w:val="center"/>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2"/>
            <w:vMerge/>
            <w:tcBorders>
              <w:top w:val="nil"/>
              <w:left w:val="nil"/>
              <w:bottom w:val="nil"/>
              <w:right w:val="nil"/>
            </w:tcBorders>
            <w:vAlign w:val="bottom"/>
          </w:tcPr>
          <w:p w:rsidR="004A62E9" w:rsidRDefault="004A62E9" w:rsidP="00AB274C">
            <w:pPr>
              <w:ind w:left="57"/>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 xml:space="preserve">Вид </w:t>
            </w:r>
            <w:proofErr w:type="gramStart"/>
            <w:r>
              <w:t>оп</w:t>
            </w:r>
            <w:proofErr w:type="gramEnd"/>
            <w:r>
              <w:t>.</w:t>
            </w:r>
          </w:p>
        </w:tc>
        <w:tc>
          <w:tcPr>
            <w:tcW w:w="851" w:type="dxa"/>
            <w:tcBorders>
              <w:top w:val="single" w:sz="4" w:space="0" w:color="auto"/>
              <w:left w:val="nil"/>
              <w:bottom w:val="nil"/>
              <w:right w:val="single" w:sz="4" w:space="0" w:color="auto"/>
            </w:tcBorders>
            <w:vAlign w:val="center"/>
          </w:tcPr>
          <w:p w:rsidR="004A62E9" w:rsidRDefault="004A62E9">
            <w:pPr>
              <w:ind w:left="57"/>
            </w:pPr>
          </w:p>
        </w:tc>
        <w:tc>
          <w:tcPr>
            <w:tcW w:w="1134" w:type="dxa"/>
            <w:tcBorders>
              <w:top w:val="single" w:sz="4" w:space="0" w:color="auto"/>
              <w:left w:val="nil"/>
              <w:bottom w:val="single" w:sz="4" w:space="0" w:color="auto"/>
              <w:right w:val="single" w:sz="4" w:space="0" w:color="auto"/>
            </w:tcBorders>
            <w:vAlign w:val="center"/>
          </w:tcPr>
          <w:p w:rsidR="004A62E9" w:rsidRDefault="004A62E9">
            <w:pPr>
              <w:ind w:left="57"/>
            </w:pPr>
            <w:r>
              <w:t>Срок плат.</w:t>
            </w:r>
          </w:p>
        </w:tc>
        <w:tc>
          <w:tcPr>
            <w:tcW w:w="1472" w:type="dxa"/>
            <w:gridSpan w:val="2"/>
            <w:tcBorders>
              <w:top w:val="single" w:sz="4" w:space="0" w:color="auto"/>
              <w:left w:val="nil"/>
              <w:bottom w:val="nil"/>
              <w:right w:val="nil"/>
            </w:tcBorders>
            <w:vAlign w:val="center"/>
          </w:tcPr>
          <w:p w:rsidR="004A62E9" w:rsidRDefault="004A62E9">
            <w:pPr>
              <w:ind w:left="57"/>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2"/>
            <w:vMerge/>
            <w:tcBorders>
              <w:top w:val="nil"/>
              <w:left w:val="nil"/>
              <w:bottom w:val="nil"/>
              <w:right w:val="nil"/>
            </w:tcBorders>
            <w:vAlign w:val="bottom"/>
          </w:tcPr>
          <w:p w:rsidR="004A62E9" w:rsidRDefault="004A62E9" w:rsidP="00AB274C">
            <w:pPr>
              <w:ind w:left="57"/>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Наз. пл.</w:t>
            </w:r>
          </w:p>
        </w:tc>
        <w:tc>
          <w:tcPr>
            <w:tcW w:w="851" w:type="dxa"/>
            <w:tcBorders>
              <w:top w:val="nil"/>
              <w:left w:val="nil"/>
              <w:bottom w:val="nil"/>
              <w:right w:val="single" w:sz="4" w:space="0" w:color="auto"/>
            </w:tcBorders>
            <w:vAlign w:val="center"/>
          </w:tcPr>
          <w:p w:rsidR="004A62E9" w:rsidRDefault="004A62E9">
            <w:pPr>
              <w:ind w:left="57"/>
            </w:pPr>
          </w:p>
        </w:tc>
        <w:tc>
          <w:tcPr>
            <w:tcW w:w="1134" w:type="dxa"/>
            <w:tcBorders>
              <w:top w:val="single" w:sz="4" w:space="0" w:color="auto"/>
              <w:left w:val="nil"/>
              <w:bottom w:val="single" w:sz="4" w:space="0" w:color="auto"/>
              <w:right w:val="single" w:sz="4" w:space="0" w:color="auto"/>
            </w:tcBorders>
            <w:vAlign w:val="center"/>
          </w:tcPr>
          <w:p w:rsidR="004A62E9" w:rsidRDefault="004A62E9">
            <w:pPr>
              <w:ind w:left="57"/>
            </w:pPr>
            <w:r>
              <w:t>Очер</w:t>
            </w:r>
            <w:proofErr w:type="gramStart"/>
            <w:r>
              <w:t>.</w:t>
            </w:r>
            <w:proofErr w:type="gramEnd"/>
            <w:r>
              <w:t xml:space="preserve"> </w:t>
            </w:r>
            <w:proofErr w:type="gramStart"/>
            <w:r>
              <w:t>п</w:t>
            </w:r>
            <w:proofErr w:type="gramEnd"/>
            <w:r>
              <w:t>лат.</w:t>
            </w:r>
          </w:p>
        </w:tc>
        <w:tc>
          <w:tcPr>
            <w:tcW w:w="1472" w:type="dxa"/>
            <w:gridSpan w:val="2"/>
            <w:tcBorders>
              <w:top w:val="nil"/>
              <w:left w:val="nil"/>
              <w:bottom w:val="nil"/>
              <w:right w:val="nil"/>
            </w:tcBorders>
            <w:vAlign w:val="center"/>
          </w:tcPr>
          <w:p w:rsidR="004A62E9" w:rsidRDefault="004A62E9">
            <w:pPr>
              <w:ind w:left="57"/>
            </w:pPr>
          </w:p>
        </w:tc>
      </w:tr>
      <w:tr w:rsidR="004A62E9" w:rsidTr="00C64F6D">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2"/>
            <w:tcBorders>
              <w:top w:val="nil"/>
              <w:left w:val="nil"/>
              <w:bottom w:val="single" w:sz="4" w:space="0" w:color="auto"/>
              <w:right w:val="nil"/>
            </w:tcBorders>
            <w:vAlign w:val="center"/>
          </w:tcPr>
          <w:p w:rsidR="004A62E9" w:rsidRDefault="004A62E9" w:rsidP="00AB274C">
            <w:pPr>
              <w:ind w:left="57"/>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A62E9" w:rsidRDefault="004A62E9">
            <w:pPr>
              <w:ind w:left="57"/>
            </w:pPr>
            <w:r>
              <w:t>Код</w:t>
            </w:r>
          </w:p>
        </w:tc>
        <w:tc>
          <w:tcPr>
            <w:tcW w:w="851" w:type="dxa"/>
            <w:tcBorders>
              <w:top w:val="nil"/>
              <w:left w:val="nil"/>
              <w:bottom w:val="single" w:sz="4" w:space="0" w:color="auto"/>
              <w:right w:val="single" w:sz="4" w:space="0" w:color="auto"/>
            </w:tcBorders>
            <w:vAlign w:val="center"/>
          </w:tcPr>
          <w:p w:rsidR="004A62E9" w:rsidRDefault="004A62E9">
            <w:pPr>
              <w:ind w:left="57"/>
            </w:pPr>
          </w:p>
        </w:tc>
        <w:tc>
          <w:tcPr>
            <w:tcW w:w="1134" w:type="dxa"/>
            <w:tcBorders>
              <w:top w:val="single" w:sz="4" w:space="0" w:color="auto"/>
              <w:left w:val="nil"/>
              <w:bottom w:val="single" w:sz="4" w:space="0" w:color="auto"/>
              <w:right w:val="single" w:sz="4" w:space="0" w:color="auto"/>
            </w:tcBorders>
            <w:vAlign w:val="center"/>
          </w:tcPr>
          <w:p w:rsidR="004A62E9" w:rsidRDefault="004A62E9">
            <w:pPr>
              <w:ind w:left="57"/>
            </w:pPr>
            <w:r>
              <w:t>Рез</w:t>
            </w:r>
            <w:proofErr w:type="gramStart"/>
            <w:r>
              <w:t>.</w:t>
            </w:r>
            <w:proofErr w:type="gramEnd"/>
            <w:r>
              <w:t xml:space="preserve"> </w:t>
            </w:r>
            <w:proofErr w:type="gramStart"/>
            <w:r>
              <w:t>п</w:t>
            </w:r>
            <w:proofErr w:type="gramEnd"/>
            <w:r>
              <w:t>оле</w:t>
            </w:r>
          </w:p>
        </w:tc>
        <w:tc>
          <w:tcPr>
            <w:tcW w:w="1472" w:type="dxa"/>
            <w:gridSpan w:val="2"/>
            <w:tcBorders>
              <w:top w:val="nil"/>
              <w:left w:val="nil"/>
              <w:bottom w:val="single" w:sz="4" w:space="0" w:color="auto"/>
              <w:right w:val="nil"/>
            </w:tcBorders>
            <w:vAlign w:val="center"/>
          </w:tcPr>
          <w:p w:rsidR="004A62E9" w:rsidRDefault="004A62E9">
            <w:pPr>
              <w:ind w:left="57"/>
            </w:pPr>
          </w:p>
        </w:tc>
      </w:tr>
      <w:tr w:rsidR="004A62E9" w:rsidTr="000F78B1">
        <w:tblPrEx>
          <w:tblBorders>
            <w:top w:val="single" w:sz="4" w:space="0" w:color="auto"/>
            <w:left w:val="none" w:sz="0" w:space="0" w:color="auto"/>
            <w:right w:val="none" w:sz="0" w:space="0" w:color="auto"/>
          </w:tblBorders>
        </w:tblPrEx>
        <w:trPr>
          <w:trHeight w:val="260"/>
        </w:trPr>
        <w:tc>
          <w:tcPr>
            <w:tcW w:w="2835" w:type="dxa"/>
            <w:tcBorders>
              <w:left w:val="nil"/>
            </w:tcBorders>
            <w:vAlign w:val="center"/>
          </w:tcPr>
          <w:p w:rsidR="004A62E9" w:rsidRPr="00C6649F" w:rsidRDefault="00D9078E" w:rsidP="00C6649F">
            <w:pPr>
              <w:rPr>
                <w:sz w:val="16"/>
                <w:szCs w:val="16"/>
              </w:rPr>
            </w:pPr>
            <w:r>
              <w:t xml:space="preserve">КБК </w:t>
            </w:r>
            <w:r w:rsidR="00C6649F" w:rsidRPr="00C277E2">
              <w:rPr>
                <w:b/>
                <w:color w:val="0070C0"/>
                <w:sz w:val="18"/>
                <w:szCs w:val="18"/>
              </w:rPr>
              <w:t>18201061201010000510</w:t>
            </w:r>
          </w:p>
        </w:tc>
        <w:tc>
          <w:tcPr>
            <w:tcW w:w="3119" w:type="dxa"/>
            <w:gridSpan w:val="2"/>
            <w:vAlign w:val="center"/>
          </w:tcPr>
          <w:p w:rsidR="004A62E9" w:rsidRPr="00163BAC" w:rsidRDefault="00C6649F" w:rsidP="00554089">
            <w:pPr>
              <w:rPr>
                <w:b/>
                <w:sz w:val="18"/>
                <w:szCs w:val="18"/>
              </w:rPr>
            </w:pPr>
            <w:r w:rsidRPr="005B60D1">
              <w:rPr>
                <w:b/>
                <w:sz w:val="18"/>
                <w:szCs w:val="18"/>
              </w:rPr>
              <w:t xml:space="preserve">ОКТМО </w:t>
            </w:r>
            <w:r w:rsidR="00163BAC" w:rsidRPr="00554089">
              <w:rPr>
                <w:b/>
                <w:color w:val="0070C0"/>
                <w:sz w:val="22"/>
                <w:szCs w:val="22"/>
              </w:rPr>
              <w:t>0</w:t>
            </w:r>
            <w:r w:rsidR="00825915" w:rsidRPr="00554089">
              <w:rPr>
                <w:b/>
                <w:color w:val="0070C0"/>
                <w:sz w:val="22"/>
                <w:szCs w:val="22"/>
              </w:rPr>
              <w:t xml:space="preserve"> </w:t>
            </w:r>
          </w:p>
        </w:tc>
        <w:tc>
          <w:tcPr>
            <w:tcW w:w="850" w:type="dxa"/>
            <w:vAlign w:val="center"/>
          </w:tcPr>
          <w:p w:rsidR="00D9078E" w:rsidRPr="00C277E2" w:rsidRDefault="00C64F6D" w:rsidP="00D9078E">
            <w:pPr>
              <w:jc w:val="center"/>
              <w:rPr>
                <w:color w:val="0070C0"/>
                <w:sz w:val="14"/>
                <w:szCs w:val="14"/>
              </w:rPr>
            </w:pPr>
            <w:r w:rsidRPr="00C277E2">
              <w:rPr>
                <w:sz w:val="14"/>
                <w:szCs w:val="14"/>
              </w:rPr>
              <w:t>Основание платежа</w:t>
            </w:r>
            <w:r w:rsidRPr="00C277E2">
              <w:rPr>
                <w:color w:val="0070C0"/>
                <w:sz w:val="14"/>
                <w:szCs w:val="14"/>
              </w:rPr>
              <w:t xml:space="preserve"> </w:t>
            </w:r>
          </w:p>
          <w:p w:rsidR="004A62E9" w:rsidRPr="00C277E2" w:rsidRDefault="00C64F6D" w:rsidP="00D9078E">
            <w:pPr>
              <w:jc w:val="center"/>
              <w:rPr>
                <w:color w:val="0070C0"/>
              </w:rPr>
            </w:pPr>
            <w:r w:rsidRPr="00C277E2">
              <w:rPr>
                <w:color w:val="0070C0"/>
                <w:sz w:val="14"/>
                <w:szCs w:val="14"/>
              </w:rPr>
              <w:t xml:space="preserve"> </w:t>
            </w:r>
            <w:r w:rsidRPr="00C277E2">
              <w:rPr>
                <w:b/>
                <w:color w:val="0070C0"/>
              </w:rPr>
              <w:t>0</w:t>
            </w:r>
          </w:p>
        </w:tc>
        <w:tc>
          <w:tcPr>
            <w:tcW w:w="851" w:type="dxa"/>
            <w:vAlign w:val="center"/>
          </w:tcPr>
          <w:p w:rsidR="00D9078E" w:rsidRPr="00C277E2" w:rsidRDefault="00C64F6D" w:rsidP="00D9078E">
            <w:pPr>
              <w:jc w:val="center"/>
              <w:rPr>
                <w:sz w:val="14"/>
                <w:szCs w:val="14"/>
              </w:rPr>
            </w:pPr>
            <w:r w:rsidRPr="00C277E2">
              <w:rPr>
                <w:sz w:val="14"/>
                <w:szCs w:val="14"/>
              </w:rPr>
              <w:t>Налоговый период</w:t>
            </w:r>
          </w:p>
          <w:p w:rsidR="004A62E9" w:rsidRPr="00C277E2" w:rsidRDefault="00C64F6D" w:rsidP="00D9078E">
            <w:pPr>
              <w:jc w:val="center"/>
              <w:rPr>
                <w:color w:val="0070C0"/>
                <w:sz w:val="14"/>
                <w:szCs w:val="14"/>
              </w:rPr>
            </w:pPr>
            <w:r w:rsidRPr="00C277E2">
              <w:rPr>
                <w:color w:val="0070C0"/>
                <w:sz w:val="14"/>
                <w:szCs w:val="14"/>
              </w:rPr>
              <w:t xml:space="preserve"> </w:t>
            </w:r>
            <w:r w:rsidRPr="00C277E2">
              <w:rPr>
                <w:b/>
                <w:color w:val="0070C0"/>
              </w:rPr>
              <w:t>0</w:t>
            </w:r>
          </w:p>
        </w:tc>
        <w:tc>
          <w:tcPr>
            <w:tcW w:w="1134" w:type="dxa"/>
            <w:vAlign w:val="center"/>
          </w:tcPr>
          <w:p w:rsidR="00D9078E" w:rsidRPr="00C277E2" w:rsidRDefault="00C64F6D" w:rsidP="00D9078E">
            <w:pPr>
              <w:jc w:val="center"/>
              <w:rPr>
                <w:sz w:val="14"/>
                <w:szCs w:val="14"/>
              </w:rPr>
            </w:pPr>
            <w:r w:rsidRPr="00C277E2">
              <w:rPr>
                <w:sz w:val="14"/>
                <w:szCs w:val="14"/>
              </w:rPr>
              <w:t>№ документа</w:t>
            </w:r>
          </w:p>
          <w:p w:rsidR="004A62E9" w:rsidRPr="00C277E2" w:rsidRDefault="00865465" w:rsidP="00865465">
            <w:pPr>
              <w:rPr>
                <w:color w:val="0070C0"/>
                <w:sz w:val="14"/>
                <w:szCs w:val="14"/>
              </w:rPr>
            </w:pPr>
            <w:r>
              <w:rPr>
                <w:b/>
                <w:color w:val="0070C0"/>
              </w:rPr>
              <w:t xml:space="preserve">          </w:t>
            </w:r>
            <w:r w:rsidR="00C64F6D" w:rsidRPr="00C277E2">
              <w:rPr>
                <w:b/>
                <w:color w:val="0070C0"/>
              </w:rPr>
              <w:t>0</w:t>
            </w:r>
          </w:p>
        </w:tc>
        <w:tc>
          <w:tcPr>
            <w:tcW w:w="1134" w:type="dxa"/>
            <w:vAlign w:val="center"/>
          </w:tcPr>
          <w:p w:rsidR="004A62E9" w:rsidRPr="00C277E2" w:rsidRDefault="00C64F6D" w:rsidP="00D9078E">
            <w:pPr>
              <w:jc w:val="center"/>
              <w:rPr>
                <w:color w:val="0070C0"/>
                <w:sz w:val="14"/>
                <w:szCs w:val="14"/>
              </w:rPr>
            </w:pPr>
            <w:r w:rsidRPr="00C277E2">
              <w:rPr>
                <w:sz w:val="14"/>
                <w:szCs w:val="14"/>
              </w:rPr>
              <w:t xml:space="preserve">Дата документа </w:t>
            </w:r>
            <w:r w:rsidRPr="00C277E2">
              <w:rPr>
                <w:b/>
                <w:color w:val="0070C0"/>
              </w:rPr>
              <w:t>0</w:t>
            </w:r>
          </w:p>
        </w:tc>
        <w:tc>
          <w:tcPr>
            <w:tcW w:w="338" w:type="dxa"/>
            <w:tcBorders>
              <w:right w:val="nil"/>
            </w:tcBorders>
            <w:vAlign w:val="center"/>
          </w:tcPr>
          <w:p w:rsidR="004A62E9" w:rsidRDefault="004A62E9">
            <w:pPr>
              <w:jc w:val="center"/>
            </w:pPr>
          </w:p>
        </w:tc>
      </w:tr>
      <w:tr w:rsidR="004A62E9" w:rsidTr="00052C4C">
        <w:tblPrEx>
          <w:tblBorders>
            <w:top w:val="single" w:sz="4" w:space="0" w:color="auto"/>
            <w:left w:val="none" w:sz="0" w:space="0" w:color="auto"/>
            <w:right w:val="none" w:sz="0" w:space="0" w:color="auto"/>
            <w:insideH w:val="none" w:sz="0" w:space="0" w:color="auto"/>
            <w:insideV w:val="none" w:sz="0" w:space="0" w:color="auto"/>
          </w:tblBorders>
        </w:tblPrEx>
        <w:trPr>
          <w:trHeight w:val="584"/>
        </w:trPr>
        <w:tc>
          <w:tcPr>
            <w:tcW w:w="10261" w:type="dxa"/>
            <w:gridSpan w:val="8"/>
            <w:tcBorders>
              <w:top w:val="nil"/>
              <w:left w:val="nil"/>
              <w:bottom w:val="nil"/>
              <w:right w:val="nil"/>
            </w:tcBorders>
          </w:tcPr>
          <w:p w:rsidR="004A62E9" w:rsidRPr="00C6649F" w:rsidRDefault="005B60D1" w:rsidP="00F51F3F">
            <w:r>
              <w:t>Назначение платежа</w:t>
            </w:r>
            <w:r w:rsidR="001B23AE">
              <w:t xml:space="preserve"> </w:t>
            </w:r>
          </w:p>
        </w:tc>
      </w:tr>
      <w:tr w:rsidR="004A62E9" w:rsidTr="00EE68E1">
        <w:tblPrEx>
          <w:tblBorders>
            <w:top w:val="single" w:sz="4" w:space="0" w:color="auto"/>
            <w:left w:val="none" w:sz="0" w:space="0" w:color="auto"/>
            <w:right w:val="none" w:sz="0" w:space="0" w:color="auto"/>
            <w:insideH w:val="none" w:sz="0" w:space="0" w:color="auto"/>
            <w:insideV w:val="none" w:sz="0" w:space="0" w:color="auto"/>
          </w:tblBorders>
        </w:tblPrEx>
        <w:trPr>
          <w:trHeight w:val="55"/>
        </w:trPr>
        <w:tc>
          <w:tcPr>
            <w:tcW w:w="10261" w:type="dxa"/>
            <w:gridSpan w:val="8"/>
            <w:tcBorders>
              <w:top w:val="nil"/>
              <w:left w:val="nil"/>
              <w:bottom w:val="single" w:sz="4" w:space="0" w:color="auto"/>
              <w:right w:val="nil"/>
            </w:tcBorders>
            <w:vAlign w:val="center"/>
          </w:tcPr>
          <w:p w:rsidR="004A62E9" w:rsidRDefault="004A62E9" w:rsidP="00B74F1E">
            <w:pPr>
              <w:ind w:left="57"/>
            </w:pPr>
          </w:p>
        </w:tc>
      </w:tr>
    </w:tbl>
    <w:p w:rsidR="004A62E9" w:rsidRDefault="004A62E9">
      <w:pPr>
        <w:tabs>
          <w:tab w:val="center" w:pos="5103"/>
          <w:tab w:val="left" w:pos="7938"/>
        </w:tabs>
        <w:spacing w:after="360"/>
      </w:pPr>
      <w:r>
        <w:tab/>
        <w:t>Подписи</w:t>
      </w:r>
      <w:r>
        <w:tab/>
        <w:t>Отметки банка</w:t>
      </w:r>
    </w:p>
    <w:tbl>
      <w:tblPr>
        <w:tblW w:w="10263" w:type="dxa"/>
        <w:tblLayout w:type="fixed"/>
        <w:tblCellMar>
          <w:left w:w="28" w:type="dxa"/>
          <w:right w:w="28" w:type="dxa"/>
        </w:tblCellMar>
        <w:tblLook w:val="0000" w:firstRow="0" w:lastRow="0" w:firstColumn="0" w:lastColumn="0" w:noHBand="0" w:noVBand="0"/>
      </w:tblPr>
      <w:tblGrid>
        <w:gridCol w:w="3402"/>
        <w:gridCol w:w="3402"/>
        <w:gridCol w:w="3459"/>
      </w:tblGrid>
      <w:tr w:rsidR="004A62E9" w:rsidTr="00B7698C">
        <w:trPr>
          <w:cantSplit/>
        </w:trPr>
        <w:tc>
          <w:tcPr>
            <w:tcW w:w="3402" w:type="dxa"/>
            <w:tcBorders>
              <w:top w:val="nil"/>
              <w:left w:val="nil"/>
              <w:bottom w:val="nil"/>
              <w:right w:val="nil"/>
            </w:tcBorders>
            <w:vAlign w:val="bottom"/>
          </w:tcPr>
          <w:p w:rsidR="004A62E9" w:rsidRDefault="004A62E9"/>
        </w:tc>
        <w:tc>
          <w:tcPr>
            <w:tcW w:w="3402" w:type="dxa"/>
            <w:tcBorders>
              <w:top w:val="nil"/>
              <w:left w:val="nil"/>
              <w:bottom w:val="single" w:sz="4" w:space="0" w:color="auto"/>
              <w:right w:val="nil"/>
            </w:tcBorders>
            <w:vAlign w:val="bottom"/>
          </w:tcPr>
          <w:p w:rsidR="004A62E9" w:rsidRDefault="004A62E9">
            <w:pPr>
              <w:jc w:val="center"/>
            </w:pPr>
          </w:p>
        </w:tc>
        <w:tc>
          <w:tcPr>
            <w:tcW w:w="3459" w:type="dxa"/>
            <w:vMerge w:val="restart"/>
            <w:tcBorders>
              <w:top w:val="nil"/>
              <w:left w:val="nil"/>
              <w:bottom w:val="nil"/>
              <w:right w:val="nil"/>
            </w:tcBorders>
          </w:tcPr>
          <w:p w:rsidR="004A62E9" w:rsidRDefault="004A62E9">
            <w:pPr>
              <w:jc w:val="center"/>
            </w:pPr>
          </w:p>
        </w:tc>
      </w:tr>
      <w:tr w:rsidR="004A62E9" w:rsidTr="00B7698C">
        <w:trPr>
          <w:cantSplit/>
          <w:trHeight w:val="820"/>
        </w:trPr>
        <w:tc>
          <w:tcPr>
            <w:tcW w:w="3402" w:type="dxa"/>
            <w:tcBorders>
              <w:top w:val="nil"/>
              <w:left w:val="nil"/>
              <w:bottom w:val="nil"/>
              <w:right w:val="nil"/>
            </w:tcBorders>
          </w:tcPr>
          <w:p w:rsidR="004A62E9" w:rsidRDefault="004A62E9">
            <w:pPr>
              <w:ind w:left="-28"/>
              <w:jc w:val="center"/>
            </w:pPr>
            <w:r>
              <w:t>М.П.</w:t>
            </w:r>
          </w:p>
        </w:tc>
        <w:tc>
          <w:tcPr>
            <w:tcW w:w="3402" w:type="dxa"/>
            <w:tcBorders>
              <w:top w:val="nil"/>
              <w:left w:val="nil"/>
              <w:bottom w:val="single" w:sz="4" w:space="0" w:color="auto"/>
              <w:right w:val="nil"/>
            </w:tcBorders>
            <w:vAlign w:val="bottom"/>
          </w:tcPr>
          <w:p w:rsidR="004A62E9" w:rsidRDefault="004A62E9">
            <w:pPr>
              <w:jc w:val="center"/>
            </w:pPr>
          </w:p>
        </w:tc>
        <w:tc>
          <w:tcPr>
            <w:tcW w:w="3459" w:type="dxa"/>
            <w:vMerge/>
            <w:tcBorders>
              <w:top w:val="nil"/>
              <w:left w:val="nil"/>
              <w:bottom w:val="nil"/>
              <w:right w:val="nil"/>
            </w:tcBorders>
            <w:vAlign w:val="bottom"/>
          </w:tcPr>
          <w:p w:rsidR="004A62E9" w:rsidRDefault="004A62E9">
            <w:pPr>
              <w:jc w:val="center"/>
            </w:pPr>
          </w:p>
        </w:tc>
      </w:tr>
    </w:tbl>
    <w:p w:rsidR="004A62E9" w:rsidRDefault="004A62E9"/>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tbl>
      <w:tblPr>
        <w:tblW w:w="10221" w:type="dxa"/>
        <w:tblInd w:w="93" w:type="dxa"/>
        <w:tblLook w:val="04A0" w:firstRow="1" w:lastRow="0" w:firstColumn="1" w:lastColumn="0" w:noHBand="0" w:noVBand="1"/>
      </w:tblPr>
      <w:tblGrid>
        <w:gridCol w:w="3276"/>
        <w:gridCol w:w="6945"/>
      </w:tblGrid>
      <w:tr w:rsidR="00AE4B42" w:rsidRPr="00AE4B42" w:rsidTr="00AE4B42">
        <w:trPr>
          <w:trHeight w:val="375"/>
        </w:trPr>
        <w:tc>
          <w:tcPr>
            <w:tcW w:w="10221" w:type="dxa"/>
            <w:gridSpan w:val="2"/>
            <w:tcBorders>
              <w:top w:val="nil"/>
              <w:left w:val="nil"/>
              <w:bottom w:val="nil"/>
              <w:right w:val="nil"/>
            </w:tcBorders>
            <w:shd w:val="clear" w:color="auto" w:fill="auto"/>
            <w:noWrap/>
            <w:vAlign w:val="bottom"/>
            <w:hideMark/>
          </w:tcPr>
          <w:p w:rsidR="00AE4B42" w:rsidRPr="00AE4B42" w:rsidRDefault="00AE4B42" w:rsidP="00AE4B42">
            <w:pPr>
              <w:autoSpaceDE/>
              <w:autoSpaceDN/>
              <w:jc w:val="center"/>
              <w:rPr>
                <w:b/>
                <w:bCs/>
                <w:color w:val="000000"/>
                <w:sz w:val="28"/>
                <w:szCs w:val="28"/>
              </w:rPr>
            </w:pPr>
            <w:r w:rsidRPr="00AE4B42">
              <w:rPr>
                <w:b/>
                <w:bCs/>
                <w:color w:val="000000"/>
                <w:sz w:val="28"/>
                <w:szCs w:val="28"/>
              </w:rPr>
              <w:t>Список налогов входящих в ЕНП</w:t>
            </w:r>
          </w:p>
        </w:tc>
      </w:tr>
      <w:tr w:rsidR="00AE4B42" w:rsidRPr="00AE4B42" w:rsidTr="00AE4B42">
        <w:trPr>
          <w:trHeight w:val="255"/>
        </w:trPr>
        <w:tc>
          <w:tcPr>
            <w:tcW w:w="3276" w:type="dxa"/>
            <w:tcBorders>
              <w:top w:val="nil"/>
              <w:left w:val="nil"/>
              <w:bottom w:val="nil"/>
              <w:right w:val="nil"/>
            </w:tcBorders>
            <w:shd w:val="clear" w:color="auto" w:fill="auto"/>
            <w:noWrap/>
            <w:vAlign w:val="bottom"/>
            <w:hideMark/>
          </w:tcPr>
          <w:p w:rsidR="00AE4B42" w:rsidRPr="00AE4B42" w:rsidRDefault="00AE4B42" w:rsidP="00AE4B42">
            <w:pPr>
              <w:autoSpaceDE/>
              <w:autoSpaceDN/>
              <w:rPr>
                <w:color w:val="000000"/>
              </w:rPr>
            </w:pPr>
          </w:p>
        </w:tc>
        <w:tc>
          <w:tcPr>
            <w:tcW w:w="6945" w:type="dxa"/>
            <w:tcBorders>
              <w:top w:val="nil"/>
              <w:left w:val="nil"/>
              <w:bottom w:val="nil"/>
              <w:right w:val="nil"/>
            </w:tcBorders>
            <w:shd w:val="clear" w:color="auto" w:fill="auto"/>
            <w:noWrap/>
            <w:vAlign w:val="bottom"/>
            <w:hideMark/>
          </w:tcPr>
          <w:p w:rsidR="00AE4B42" w:rsidRPr="00AE4B42" w:rsidRDefault="00AE4B42" w:rsidP="00AE4B42">
            <w:pPr>
              <w:autoSpaceDE/>
              <w:autoSpaceDN/>
              <w:rPr>
                <w:color w:val="000000"/>
              </w:rPr>
            </w:pPr>
          </w:p>
        </w:tc>
      </w:tr>
      <w:tr w:rsidR="00AE4B42" w:rsidRPr="00AE4B42" w:rsidTr="00AE4B42">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Код</w:t>
            </w:r>
          </w:p>
        </w:tc>
        <w:tc>
          <w:tcPr>
            <w:tcW w:w="6945" w:type="dxa"/>
            <w:tcBorders>
              <w:top w:val="single" w:sz="4" w:space="0" w:color="auto"/>
              <w:left w:val="nil"/>
              <w:bottom w:val="single" w:sz="4" w:space="0" w:color="auto"/>
              <w:right w:val="single" w:sz="4" w:space="0" w:color="auto"/>
            </w:tcBorders>
            <w:shd w:val="clear" w:color="auto" w:fill="auto"/>
            <w:hideMark/>
          </w:tcPr>
          <w:p w:rsidR="00AE4B42" w:rsidRPr="00AE4B42" w:rsidRDefault="00AE4B42" w:rsidP="00AE4B42">
            <w:pPr>
              <w:autoSpaceDE/>
              <w:autoSpaceDN/>
              <w:jc w:val="center"/>
            </w:pPr>
            <w:r w:rsidRPr="00AE4B42">
              <w:t>Наименование</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18210101102010000110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Налог на прибыль организаций, уплаченный налогоплательщиками (за исключением производящих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AE4B42">
              <w:t>Гыданский</w:t>
            </w:r>
            <w:proofErr w:type="spellEnd"/>
            <w:r w:rsidRPr="00AE4B42">
              <w:t xml:space="preserve"> в Ямало-Ненецком автономном округе и прилегающей акватории, лицензии на пользование недрами которым выданы после 1 января 2013 года, на</w:t>
            </w:r>
            <w:proofErr w:type="gramEnd"/>
            <w:r w:rsidRPr="00AE4B42">
              <w:t xml:space="preserve"> </w:t>
            </w:r>
            <w:proofErr w:type="gramStart"/>
            <w:r w:rsidRPr="00AE4B42">
              <w:t>2023 - 2025 годы), которые до 1 января 2023 года являлись участниками консолидированной группы налогоплательщиков, зачисляемый в федеральный бюджет</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18210101103010000 110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18210101103010000110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18210101111010000110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AE4B42">
              <w:t xml:space="preserve"> </w:t>
            </w:r>
            <w:proofErr w:type="gramStart"/>
            <w:r w:rsidRPr="00AE4B42">
              <w:t>Российской Федерации, зачисляемый в федеральный бюджет</w:t>
            </w:r>
            <w:proofErr w:type="gramEnd"/>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18210101112010000110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AE4B42">
              <w:t xml:space="preserve"> Российской Федерации, </w:t>
            </w:r>
            <w:proofErr w:type="gramStart"/>
            <w:r w:rsidRPr="00AE4B42">
              <w:t>зачисляемый</w:t>
            </w:r>
            <w:proofErr w:type="gramEnd"/>
            <w:r w:rsidRPr="00AE4B42">
              <w:t xml:space="preserve"> в бюджеты субъектов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18210201000010000160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предусмотренные законодательством о налогах и сборах, распределяемые по видам страхования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18210202000010000160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bookmarkStart w:id="0" w:name="_GoBack" w:colFirst="0" w:colLast="0"/>
            <w:r w:rsidRPr="00AE4B42">
              <w:t>182</w:t>
            </w:r>
            <w:r w:rsidR="00086908" w:rsidRPr="00AE4B42">
              <w:t xml:space="preserve"> </w:t>
            </w:r>
            <w:r w:rsidRPr="00AE4B42">
              <w:t>1 02 03000 01 0000 160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 xml:space="preserve">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 </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182 1 02 04010 01 0010 160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proofErr w:type="gramStart"/>
            <w:r w:rsidRPr="00AE4B42">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(класса условий труда)</w:t>
            </w:r>
            <w:proofErr w:type="gramEnd"/>
          </w:p>
        </w:tc>
      </w:tr>
      <w:bookmarkEnd w:id="0"/>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182 1 02 04010 01 0020 160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proofErr w:type="gramStart"/>
            <w:r w:rsidRPr="00AE4B42">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w:t>
            </w:r>
            <w:proofErr w:type="gramEnd"/>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2F006E">
            <w:pPr>
              <w:autoSpaceDE/>
              <w:autoSpaceDN/>
            </w:pPr>
            <w:r w:rsidRPr="00AE4B42">
              <w:t>18210204020010010160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proofErr w:type="gramStart"/>
            <w:r w:rsidRPr="00AE4B42">
              <w:t xml:space="preserve">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w:t>
            </w:r>
            <w:r w:rsidRPr="00AE4B42">
              <w:lastRenderedPageBreak/>
              <w:t>(класса условий труда)</w:t>
            </w:r>
            <w:proofErr w:type="gramEnd"/>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182 1 02 04020 01 0020 160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proofErr w:type="gramStart"/>
            <w:r w:rsidRPr="00AE4B42">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 (сумма платежа (перерасчеты, недоимка и задолженность по соответствующему</w:t>
            </w:r>
            <w:proofErr w:type="gramEnd"/>
            <w:r w:rsidRPr="00AE4B42">
              <w:t xml:space="preserve"> платежу, в том числе </w:t>
            </w:r>
            <w:proofErr w:type="gramStart"/>
            <w:r w:rsidRPr="00AE4B42">
              <w:t>по</w:t>
            </w:r>
            <w:proofErr w:type="gramEnd"/>
            <w:r w:rsidRPr="00AE4B42">
              <w:t xml:space="preserve"> отмененному)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182 1 02 08000 06 0000 160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182 1 02 09000 06 0000 160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182 1 02 10000 01 0000 160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182 1 02 11000 01 0000 160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182 1 02 14010 06 0001 160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пенсионное страхование за расчетные периоды, истекшие до 1 января 2023 года (на выплату страховой пенсии за расчетные периоды с 1 января 2017 года по 31 декабря 2022 года)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182 1 02 14010 06 0005 160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пенсионное страхование за расчетные периоды, истекшие до 1 января 2023 года (в фиксированном размере, зачисляемые на выплату  страховой пенсии, за расчетные периоды с 1 января 2017 года по 31 декабря 2022 года)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182 1 02 14020 06 0001 160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proofErr w:type="gramStart"/>
            <w:r w:rsidRPr="00AE4B42">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(сумма платежа (перерасчеты, недоимка и задолженность по соответствующему платежу, в том числе по отмененному за расчетные периоды с 1 января 2017 года по 31 декабря 2022 года)</w:t>
            </w:r>
            <w:proofErr w:type="gramEnd"/>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182 1 02 14030 08 0001 160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медицинское страхование работающего населения за расчетные периоды, истекшие до 1 января 2023 года  (страховые взносы на обязательное медицинское страхование работающего населения)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182 1 02 14030 08 0002 160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jc w:val="both"/>
            </w:pPr>
            <w:r w:rsidRPr="00AE4B42">
              <w:t>Страховые взносы на обязательное медицинское страхование работающего населения за расчетные периоды, истекшие до 1 января 2023 года (страховые взносы на обязательное медицинское страхование работающего населения в фиксированном размере)</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182 1 07 01070 01 0000 110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добычу полезных ископаемых в виде природных алмазов в части налога, исчисленного налогоплательщиками, в которых прямо участвует Российская </w:t>
            </w:r>
            <w:proofErr w:type="gramStart"/>
            <w:r w:rsidRPr="00AE4B42">
              <w:t>Федерация</w:t>
            </w:r>
            <w:proofErr w:type="gramEnd"/>
            <w:r w:rsidRPr="00AE4B42">
              <w:t xml:space="preserve">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Pr="00AE4B42">
              <w:t>которыми</w:t>
            </w:r>
            <w:proofErr w:type="gramEnd"/>
            <w:r w:rsidRPr="00AE4B42">
              <w:t xml:space="preserve"> выдана таким организациям в соответствии с законодательством Российской Федерации о недрах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182 1 16 17000 01 0000 140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182 1 16 20000 01 2000 140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Суммы процентов, установленных Налоговым кодексом Российской Федерации (проценты по соответствующему платежу)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182 1 16 20000 01 5000 140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Суммы процентов, установленных Налоговым кодексом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182 1 16 21010 06 3001 140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Штрафы по страховым взносам на обязательное пенсионное страхование за расчетные периоды, истекшие до 1 января 2023 года (суммы денежных взысканий (штрафов) по соответствующему платежу согласно законодательству Российской Федерации в части страховой пенсии)</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182 1 16 21010 06 3002 140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Штрафы по страховым взносам на обязательное пенсионное страхование за расчетные периоды, истекшие до 1 января 2023 года (суммы денежных взысканий (штрафов) по соответствующему платежу согласно законодательству Российской Федерации в части накопительной пенсии)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182 1 16 21020 06 0000 140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182 1 16 21030 08 0000 140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Штрафы по страховым взносам на обязательное медицинское страхование работающего населения за расчетные периоды, истекшие до 1 января 2023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(за исключением консолидированных групп налогоплательщиков), зачисляемый в федеральный бюджет</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18210101012020000110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18210101013010000110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консолидированных групп налогоплательщиков, зачисляемый в федеральный бюджет</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18210101014020000110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консолидированных групп налогоплательщиков, зачисляемый в бюджеты субъектов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18210101015010000110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уплачиваемый международными холдинговыми компаниями, зачисляемый в федеральный бюджет</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18210101016020000110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18210101021010000110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18210101022020000110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18210101023010000110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18210101024010000110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18210101040010000110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полученных в виде дивидендов от российских организаций российскими организациями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18210101050010000110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полученных в виде дивидендов от российских организаций иностранными организациями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18210101060010000110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полученных в виде дивидендов от иностранных организаций российскими организациями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18210101070010000110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полученных в виде процентов по государственным и муниципальным ценным бумагам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18210101080010000110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прибыль организаций с доходов в виде прибыли контролируемых иностранных компаний</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18210101090010000110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w:t>
            </w:r>
            <w:r w:rsidRPr="00AE4B42">
              <w:lastRenderedPageBreak/>
              <w:t>1 января 2017 года по 31 декабря 2021 года включительно, а также</w:t>
            </w:r>
            <w:proofErr w:type="gramEnd"/>
            <w:r w:rsidRPr="00AE4B42">
              <w:t xml:space="preserve"> по облигациям с ипотечным покрытием, эмитированным после 1 января 2007 года</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18210101101010000110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Налог на прибыль организаций, уплаченный налогоплательщиками, производящими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AE4B42">
              <w:t>Гыданский</w:t>
            </w:r>
            <w:proofErr w:type="spellEnd"/>
            <w:r w:rsidRPr="00AE4B42">
              <w:t xml:space="preserve"> в Ямало-Ненецком автономном округе и прилегающей акватории, лицензии на пользование недрами которым выданы  после 1 января 2013 года, на 2023   2025</w:t>
            </w:r>
            <w:proofErr w:type="gramEnd"/>
            <w:r w:rsidRPr="00AE4B42">
              <w:t xml:space="preserve"> </w:t>
            </w:r>
            <w:proofErr w:type="gramStart"/>
            <w:r w:rsidRPr="00AE4B42">
              <w:t>годы, которые до 1 января 2023 года являлись участниками консолидированной группы налогоплательщиков, зачисляемый в федеральный бюджет</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18210102010010000110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18210102050010000110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18210102060010000110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18210102070010000110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18210102080010000110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18210102090010000110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18210102100010000110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18210102110010000110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18210102120010000110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'18210102130010000110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в отношении доходов от долевого участия в организации, полученных в виде дивидендов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'18210102140010000110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18210301000010000110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добавленную стоимость на товары (работы, услуги), реализуемые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18210302011010000110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AE4B42">
              <w:t>кальвадосного</w:t>
            </w:r>
            <w:proofErr w:type="spellEnd"/>
            <w:r w:rsidRPr="00AE4B42">
              <w:t xml:space="preserve">, </w:t>
            </w:r>
            <w:proofErr w:type="spellStart"/>
            <w:r w:rsidRPr="00AE4B42">
              <w:t>вискового</w:t>
            </w:r>
            <w:proofErr w:type="spellEnd"/>
            <w:r w:rsidRPr="00AE4B42">
              <w:t xml:space="preserve">), производимый на территории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18210302012010000110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этиловый спирт из непищевого сырья, производимый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18210302013010000110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этиловый спирт из пищевого сырья  (дистилляты винный, виноградный, плодовый, коньячный, </w:t>
            </w:r>
            <w:proofErr w:type="spellStart"/>
            <w:r w:rsidRPr="00AE4B42">
              <w:t>кальвадосный</w:t>
            </w:r>
            <w:proofErr w:type="spellEnd"/>
            <w:r w:rsidRPr="00AE4B42">
              <w:t xml:space="preserve">, </w:t>
            </w:r>
            <w:proofErr w:type="spellStart"/>
            <w:r w:rsidRPr="00AE4B42">
              <w:t>висковый</w:t>
            </w:r>
            <w:proofErr w:type="spellEnd"/>
            <w:r w:rsidRPr="00AE4B42">
              <w:t>), производимый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спиртосодержащую продукцию, производимую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18210302021010000110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виноматериалы, виноградное сусло, фруктовое сусло, производимые на территории Российской Федерации, кроме </w:t>
            </w:r>
            <w:proofErr w:type="gramStart"/>
            <w:r w:rsidRPr="00AE4B42">
              <w:t>производимых</w:t>
            </w:r>
            <w:proofErr w:type="gramEnd"/>
            <w:r w:rsidRPr="00AE4B42">
              <w:t xml:space="preserve"> из подакцизного винограда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18210302022010000110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Акцизы на вино наливом, виноградное сусло, производимые на территории Российской Федерации из подакцизного винограда (сумма платежа</w:t>
            </w:r>
            <w:proofErr w:type="gramEnd"/>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табачную продукцию, производимую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18210302041010000110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автомобильный бензин, производимый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18210302042010000110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прямогонный бензин, производимый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18210302060010000110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автомобили легковые и мотоциклы, производимые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18210302070010000110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дизельное топливо, производимое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18210302080010000110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моторные масла для дизельных и (или) карбюраторных (</w:t>
            </w:r>
            <w:proofErr w:type="spellStart"/>
            <w:r w:rsidRPr="00AE4B42">
              <w:t>инжекторных</w:t>
            </w:r>
            <w:proofErr w:type="spellEnd"/>
            <w:r w:rsidRPr="00AE4B42">
              <w:t>) двигателей, производимые на территории Российской Федерации</w:t>
            </w:r>
          </w:p>
        </w:tc>
      </w:tr>
      <w:tr w:rsidR="00AE4B42" w:rsidRPr="00AE4B42" w:rsidTr="00AE4B42">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18210302090010000110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Акцизы на вина, вина наливом, плодовую алкогольную продукцию, игристые вина, включая российское шампанское, а также </w:t>
            </w:r>
            <w:proofErr w:type="spellStart"/>
            <w:r w:rsidRPr="00AE4B42">
              <w:t>виноградосодержащие</w:t>
            </w:r>
            <w:proofErr w:type="spellEnd"/>
            <w:r w:rsidRPr="00AE4B42">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w:t>
            </w:r>
            <w:proofErr w:type="gramEnd"/>
            <w:r w:rsidRPr="00AE4B42">
              <w:t xml:space="preserve"> подакцизного винограда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18210302091010000110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18210302100010000110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пиво, напитки, изготавливаемые на основе пива, производимые на территории Российской Федерации</w:t>
            </w:r>
          </w:p>
        </w:tc>
      </w:tr>
      <w:tr w:rsidR="00AE4B42" w:rsidRPr="00AE4B42" w:rsidTr="00AE4B42">
        <w:trPr>
          <w:trHeight w:val="153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18210302111010000110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AE4B42">
              <w:t>виноградосодержалщх</w:t>
            </w:r>
            <w:proofErr w:type="spellEnd"/>
            <w:r w:rsidRPr="00AE4B42">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w:t>
            </w:r>
            <w:proofErr w:type="gramEnd"/>
            <w:r w:rsidRPr="00AE4B42">
              <w:t xml:space="preserve"> (</w:t>
            </w:r>
            <w:proofErr w:type="gramStart"/>
            <w:r w:rsidRPr="00AE4B42">
              <w:t xml:space="preserve">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w:t>
            </w:r>
            <w:proofErr w:type="gramEnd"/>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18210302112010000110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18210302120010000110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сидр, </w:t>
            </w:r>
            <w:proofErr w:type="spellStart"/>
            <w:r w:rsidRPr="00AE4B42">
              <w:t>пуаре</w:t>
            </w:r>
            <w:proofErr w:type="spellEnd"/>
            <w:r w:rsidRPr="00AE4B42">
              <w:t>, медовуху, производимые на территории Российской Федерации</w:t>
            </w:r>
          </w:p>
        </w:tc>
      </w:tr>
      <w:tr w:rsidR="00AE4B42" w:rsidRPr="00AE4B42" w:rsidTr="00AE4B42">
        <w:trPr>
          <w:trHeight w:val="153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18210302130010000110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proofErr w:type="gramStart"/>
            <w:r w:rsidRPr="00AE4B42">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AE4B42">
              <w:t>виноградосодержащих</w:t>
            </w:r>
            <w:proofErr w:type="spellEnd"/>
            <w:r w:rsidRPr="00AE4B42">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Pr="00AE4B42">
              <w:t xml:space="preserve">, </w:t>
            </w:r>
            <w:proofErr w:type="gramStart"/>
            <w:r w:rsidRPr="00AE4B42">
              <w:t>и (или) без добавления дистиллятов, и (или) без добавления крепленого (ликерного) вина), производимую на территории Российской Федерации</w:t>
            </w:r>
            <w:proofErr w:type="gramEnd"/>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бензол, параксилол, </w:t>
            </w:r>
            <w:proofErr w:type="spellStart"/>
            <w:r w:rsidRPr="00AE4B42">
              <w:t>ортоксилол</w:t>
            </w:r>
            <w:proofErr w:type="spellEnd"/>
            <w:r w:rsidRPr="00AE4B42">
              <w:t>, производимые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18210302310010000110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авиационный керосин, производимый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природный газ, предусмотренные международными договорами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средние дистилляты, производимые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18210302340010000110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18210302350010000110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18210302360010000110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электронные системы доставки никотина, производимые на территории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18210302361010000110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устройства для нагревания табака, производимые на территории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18210302370010000110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w:t>
            </w:r>
            <w:proofErr w:type="spellStart"/>
            <w:r w:rsidRPr="00AE4B42">
              <w:t>никотинсодержащие</w:t>
            </w:r>
            <w:proofErr w:type="spellEnd"/>
            <w:r w:rsidRPr="00AE4B42">
              <w:t xml:space="preserve"> жидкости, производимые на территории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18210302380010000110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табак (табачные изделия), предназначенный для потребления путем нагревания, производимый на территории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18210302390010000110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 на нефтяное сырье, направленное на переработку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 на темное судовое топливо, производимое на территории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 на этан, направленный на переработку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18210302430010000110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 на сжиженный углеводородный газ, направленный на переработку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18210302440010000110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18210302450010000110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18210302460010000110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 на синтетический каучук</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18210302480010000110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 на сахаросодержащие напитки, производимые на территории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18210401000010000110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Налог на добавленную стоимость на товары, ввозимые на территорию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18210402011010000110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AE4B42">
              <w:t>кальвадосного</w:t>
            </w:r>
            <w:proofErr w:type="spellEnd"/>
            <w:r w:rsidRPr="00AE4B42">
              <w:t xml:space="preserve">, </w:t>
            </w:r>
            <w:proofErr w:type="spellStart"/>
            <w:r w:rsidRPr="00AE4B42">
              <w:t>вискового</w:t>
            </w:r>
            <w:proofErr w:type="spellEnd"/>
            <w:r w:rsidRPr="00AE4B42">
              <w:t xml:space="preserve">), ввозимый на территорию Российской Федерации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18210402012010000110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 xml:space="preserve">Акцизы на этиловый спирт из пищевого сырья (дистилляты винный, виноградный, плодовый, коньячный, </w:t>
            </w:r>
            <w:proofErr w:type="spellStart"/>
            <w:r w:rsidRPr="00AE4B42">
              <w:t>кальвадосный</w:t>
            </w:r>
            <w:proofErr w:type="spellEnd"/>
            <w:r w:rsidRPr="00AE4B42">
              <w:t xml:space="preserve">, </w:t>
            </w:r>
            <w:proofErr w:type="spellStart"/>
            <w:r w:rsidRPr="00AE4B42">
              <w:t>висковый</w:t>
            </w:r>
            <w:proofErr w:type="spellEnd"/>
            <w:r w:rsidRPr="00AE4B42">
              <w:t>), ввозимый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t>18210402013010000110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этиловый спирт из непищевого сырья, ввозимый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hideMark/>
          </w:tcPr>
          <w:p w:rsidR="00AE4B42" w:rsidRPr="00AE4B42" w:rsidRDefault="00AE4B42" w:rsidP="00AE4B42">
            <w:pPr>
              <w:autoSpaceDE/>
              <w:autoSpaceDN/>
            </w:pPr>
            <w:r w:rsidRPr="00AE4B42">
              <w:lastRenderedPageBreak/>
              <w:t>18210402020010000110</w:t>
            </w:r>
          </w:p>
        </w:tc>
        <w:tc>
          <w:tcPr>
            <w:tcW w:w="6945" w:type="dxa"/>
            <w:tcBorders>
              <w:top w:val="nil"/>
              <w:left w:val="nil"/>
              <w:bottom w:val="single" w:sz="4" w:space="0" w:color="auto"/>
              <w:right w:val="single" w:sz="4" w:space="0" w:color="auto"/>
            </w:tcBorders>
            <w:shd w:val="clear" w:color="auto" w:fill="auto"/>
            <w:hideMark/>
          </w:tcPr>
          <w:p w:rsidR="00AE4B42" w:rsidRPr="00AE4B42" w:rsidRDefault="00AE4B42" w:rsidP="00AE4B42">
            <w:pPr>
              <w:autoSpaceDE/>
              <w:autoSpaceDN/>
            </w:pPr>
            <w:r w:rsidRPr="00AE4B42">
              <w:t>Акцизы на спиртосодержащую продукцию, ввозимую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18210402021010000110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виноградное сусло, плодовое сусло, плодовые </w:t>
            </w:r>
            <w:proofErr w:type="spellStart"/>
            <w:r w:rsidRPr="00AE4B42">
              <w:t>сброженные</w:t>
            </w:r>
            <w:proofErr w:type="spellEnd"/>
            <w:r w:rsidRPr="00AE4B42">
              <w:t xml:space="preserve"> материалы, ввозимые на территорию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табачную продукцию, ввозимую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автомобильный бензин, ввозимый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18210402060010000110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автомобили легковые и мотоциклы,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18210402070010000110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дизельное топливо, ввозимое на территорию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18210402080010000110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моторные масла для дизельных и (или) карбюраторных (</w:t>
            </w:r>
            <w:proofErr w:type="spellStart"/>
            <w:r w:rsidRPr="00AE4B42">
              <w:t>инжекторных</w:t>
            </w:r>
            <w:proofErr w:type="spellEnd"/>
            <w:r w:rsidRPr="00AE4B42">
              <w:t>) двигателей,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18210402100010000110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пиво, напитки, изготавливаемые на основе пива, ввозимые на территорию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сидр, </w:t>
            </w:r>
            <w:proofErr w:type="spellStart"/>
            <w:r w:rsidRPr="00AE4B42">
              <w:t>пуаре</w:t>
            </w:r>
            <w:proofErr w:type="spellEnd"/>
            <w:r w:rsidRPr="00AE4B42">
              <w:t>, медовуху,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прямогонный бензин, ввозимый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18210402170010000110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средние дистилляты,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18210402180010000110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электронные системы доставки никотина, ввозимые на территорию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18210402181010000110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устройства для нагревания табака,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18210402190010000110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w:t>
            </w:r>
            <w:proofErr w:type="spellStart"/>
            <w:r w:rsidRPr="00AE4B42">
              <w:t>никотиносодержащие</w:t>
            </w:r>
            <w:proofErr w:type="spellEnd"/>
            <w:r w:rsidRPr="00AE4B42">
              <w:t xml:space="preserve"> жидкости, ввозимые на территорию Российской Федерации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18210402200010000110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Акцизы на табак (табачные изделия), предназначенный для потребления путем нагревания, ввозимый на территорию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18210402210010000110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 на сахаросодержащие напитки, ввозимые на территорию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18210501011010000110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с налогоплательщиков, выбравших в качестве объекта налогообложения доходы</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18210501012010000110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18210501021010000110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взимаемый с налогоплательщиков, выбравших в качестве объекта налогообложения доходы, уменьшенные на величину расходов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18210501022010000110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18210501050010000110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Минимальный налог, зачисляемый в бюджеты субъектов Российской Федерации (за налоговые периоды, истекшие до 1 января 2016 года)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18210502010020000110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налог на вмененный доход для отдельных видов деятельности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18210502020020000110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налог на вмененный доход для отдельных видов деятельности (за налоговые периоды, истекшие до 1 января 2011 года)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18210503010010000110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сельскохозяйственный налог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18210503020010000110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сельскохозяйственный налог (за налоговые периоды, истекшие до 1 января 2011 года)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18210504010020000110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в связи с применением патентной системы налогообложения, зачисляемый в бюджеты городских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18210504020020000110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взимаемый в связи с применением патентной системы </w:t>
            </w:r>
            <w:proofErr w:type="spellStart"/>
            <w:r w:rsidRPr="00AE4B42">
              <w:t>налогообложения</w:t>
            </w:r>
            <w:proofErr w:type="gramStart"/>
            <w:r w:rsidRPr="00AE4B42">
              <w:t>,з</w:t>
            </w:r>
            <w:proofErr w:type="gramEnd"/>
            <w:r w:rsidRPr="00AE4B42">
              <w:t>ачисляемый</w:t>
            </w:r>
            <w:proofErr w:type="spellEnd"/>
            <w:r w:rsidRPr="00AE4B42">
              <w:t xml:space="preserve"> в бюджеты муниципальных районов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18210504030020000110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в связи с применением патентной системы налогообложения, зачисляемый в бюджеты городов федерального значения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18210504040020000110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в связи с применением патентной системы налогообложения, зачисляемый в бюджеты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18210504050020000110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в связи с применением патентной системы налогообложения, зачисляемый в бюджеты внутригородских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18210504060020000110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взимаемый в связи с применением патентной системы налогообложения, зачисляемый в бюджеты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18210505010020000110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Торговый сбор, уплачиваемый на территориях городов федерального значения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18210507000010000110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взимаемый в связи с применением специального налогового режима "Автоматизированная упрощенная система налогообложения"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18210601010030000110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18210601020040000110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18210601020110000110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18210601020120000110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внутригородских районов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18210601020140000110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18210601030050000110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18210601030100000110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18210601030130000110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18210602010020000110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организаций по имуществу, не входящему в Единую систему газоснабжения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18210602020020000110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организаций по имуществу, входящему в Единую систему газоснабжения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18210604011020000110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Транспортный налог с организаций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18210604012020000110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Транспортный налог с физических лиц</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18210605000020000110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игорный бизнес</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18210606032120000110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внутригородских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муниципальных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межселенных территорий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18210606033100000110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сельских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18210606033130000110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организаций, обладающих земельным участком, расположенным в границах городских поселений</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18210606042120000110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внутригородских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муниципальных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межселенных территорий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18210606043100000110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сельских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18210606043130000110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с физических лиц, обладающих земельным участком, расположенным в границах городских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18210701011010000110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Нефть (налог)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18210701012010000110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Газ горючий природный из всех видов месторождений углеводородного сырья (налог)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18210701013010000110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Газовый конденсат из всех видов месторождений углеводородного сырья (налог)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общераспространенных полезных ископаемых</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18210701050010000110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природных алмазов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18210701060010000110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угля (за исключением угля коксующегося)</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18210701080010000110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AE4B42">
              <w:t>штаффелитовых</w:t>
            </w:r>
            <w:proofErr w:type="spellEnd"/>
            <w:r w:rsidRPr="00AE4B42">
              <w:t xml:space="preserve"> руд, апатит-магнетитовых, маложелезистых апатитовых руд, апатитовых и фосфоритовых руд)</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18210701090010000110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добычу полезных ископаемых в виде железной руды (за исключением окисленных железистых кварцитов)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18210701100010000110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калийных солей</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добычу полезных ископаемых в виде угля коксующегося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апатит-нефелиновых, апатитовых и фосфоритовых руд</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добычу полезных ископаемых в виде апатит-магнетитовых руд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18210701150010000110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добычу полезных ископаемых в виде апатит-</w:t>
            </w:r>
            <w:proofErr w:type="spellStart"/>
            <w:r w:rsidRPr="00AE4B42">
              <w:t>штаффелитовых</w:t>
            </w:r>
            <w:proofErr w:type="spellEnd"/>
            <w:r w:rsidRPr="00AE4B42">
              <w:t xml:space="preserve"> руд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18210701160010000110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добычу полезных ископаемых в виде маложелезистых апатитовых руд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18210702011010000110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r w:rsidRPr="00AE4B42">
              <w:t xml:space="preserve">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(газ горючий природный)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18210702012010000110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r w:rsidRPr="00AE4B42">
              <w:t xml:space="preserve">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(газ горючий природный)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18210702021010000110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r w:rsidRPr="00AE4B42">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18210702022010000110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r w:rsidRPr="00AE4B42">
              <w:t xml:space="preserve">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18210702023010000110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proofErr w:type="gramStart"/>
            <w:r w:rsidRPr="00AE4B42">
              <w:t>Регулярные платежи за добычу полезных ископаемых (роялти) при выполнении соглашений о разделе продукции по проекту "</w:t>
            </w:r>
            <w:proofErr w:type="spellStart"/>
            <w:r w:rsidRPr="00AE4B42">
              <w:t>Харьягинское</w:t>
            </w:r>
            <w:proofErr w:type="spellEnd"/>
            <w:r w:rsidRPr="00AE4B42">
              <w:t xml:space="preserve"> месторождение"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18210702030010000110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18210703000010000110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Водный налог</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18210705010010000110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18210705020010000110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18210705030010000110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(за исключением участков недр, имеющих историческую степень </w:t>
            </w:r>
            <w:proofErr w:type="spellStart"/>
            <w:r w:rsidRPr="00AE4B42">
              <w:t>выработанности</w:t>
            </w:r>
            <w:proofErr w:type="spellEnd"/>
            <w:r w:rsidRPr="00AE4B42">
              <w:t xml:space="preserve"> запасов нефти больше 0,8 или равную 0,8)</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18210705040010000110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18210705050010000110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5 пункта 1 статьи 333.45 Налогового кодекса Российской Федерации </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18210705060010000110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дополнительный доход от добычи углеводородного сырья на участках недр, имеющих историческую степень </w:t>
            </w:r>
            <w:proofErr w:type="spellStart"/>
            <w:r w:rsidRPr="00AE4B42">
              <w:t>выработанности</w:t>
            </w:r>
            <w:proofErr w:type="spellEnd"/>
            <w:r w:rsidRPr="00AE4B42">
              <w:t xml:space="preserve"> запасов нефти больше 0,8 или равную 0,8, расположенных полностью или частично на территориях, указанных в подпункте 3 пункта 1 статьи 333.45 Налогового кодекса Российской Федерации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18210801000011060110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Государственная пошлина по делам, рассматриваемым в арбитражных судах (государственная пошлина, уплачиваемая на основании судебных актов по результатам рассмотрения дел по существу)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18210802000011060110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Государственная пошлина по делам, рассматриваемым Конституционным Судом Российской Федерации (государственная пошлина, уплачиваемая на основании судебных актов по результатам рассмотрения дел по существу)</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18210803010011060110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hideMark/>
          </w:tcPr>
          <w:p w:rsidR="00AE4B42" w:rsidRPr="00AE4B42" w:rsidRDefault="00AE4B42" w:rsidP="00AE4B42">
            <w:pPr>
              <w:autoSpaceDE/>
              <w:autoSpaceDN/>
            </w:pPr>
            <w:r w:rsidRPr="00AE4B42">
              <w:t>18210803020011060110</w:t>
            </w:r>
          </w:p>
        </w:tc>
        <w:tc>
          <w:tcPr>
            <w:tcW w:w="6945" w:type="dxa"/>
            <w:tcBorders>
              <w:top w:val="nil"/>
              <w:left w:val="nil"/>
              <w:bottom w:val="single" w:sz="4" w:space="0" w:color="auto"/>
              <w:right w:val="single" w:sz="4" w:space="0" w:color="auto"/>
            </w:tcBorders>
            <w:shd w:val="clear" w:color="auto" w:fill="auto"/>
            <w:noWrap/>
            <w:hideMark/>
          </w:tcPr>
          <w:p w:rsidR="00AE4B42" w:rsidRPr="00AE4B42" w:rsidRDefault="00AE4B42" w:rsidP="00AE4B42">
            <w:pPr>
              <w:autoSpaceDE/>
              <w:autoSpaceDN/>
              <w:jc w:val="both"/>
            </w:pPr>
            <w:r w:rsidRPr="00AE4B42">
              <w:t>Государственная пошлина по делам, рассматриваемым Верховным Судом Российской Федерации (государственная пошлина, уплачиваемая на основании судебных актов по результатам рассмотрения дел по существу)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18210901010030000110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18210901020040000110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прибыль организаций, зачислявшийся до 1 января 2005 года в местные бюджеты, мобилизуемый на территориях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18210901020110000110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18210901020120000110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прибыль организаций, зачислявшийся до 1 января 2005 года в местные бюджеты, мобилизуемый на территориях внутригородских районов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18210901020140000110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прибыль организаций, зачислявшийся до 1 января 2005 года в местные бюджеты, мобилизуемый на территориях муниципальных округов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18210901030050000110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прибыль организаций, зачислявшийся до 1 января 2005 года в местные бюджеты, мобилизуемый на территориях муниципальных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18210902010010000110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Акцизы на природный газ. На указанный код зачисляется также акциз на природный газ, добытый до 1 января 2004 года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18210903021040000110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общераспространенных полезных ископаемых, мобилизуемые на территориях городских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18210903021050000110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общераспространенных полезных ископаемых, мобилизуемые на территориях муниципальных районов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18210903021110000110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общераспространенных полезных ископаемых, мобилизуемые на территориях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18210903021140000110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Платежи за добычу общераспространенных полезных ископаемых, мобилизуемые на территориях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углеводородного сырья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18210903023010000110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подземных вод</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18210903025010000110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добычу других полезных ископаемых</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18210903061010000110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Регулярные платежи (роялти)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18210903062010000110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Ежегодные платежи за проведение поисковых и разведочных работ</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18210903071010000110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Платежи за пользование минеральными ресурсами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18210903081010000110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Отчисления на воспроизводство минерально-сырьевой базы, зачисляемые в федеральный бюджет</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18210903082020000110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18210903083020000110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18210903091010000110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Лесные подати в части минимальных ставок платы за древесину, отпускаемую на корню (по обязательствам, возникшим до 1 января 2005 года)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18210903092010000110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имущество предприятий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с владельцев транспортных средств и налог на приобретение транспортных средств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пользователей автомобильных дорог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с имущества, переходящего в порядке наследования или дарения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территориях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территориях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Земельный налог (по обязательствам, возникшим до 1 января 2006 года), мобилизуемый на территориях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межселенных территориях</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18210904053100000110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территориях сельских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18210904053130000110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Земельный налог (по обязательствам, возникшим до 1 января 2006 года), мобилизуемый на территориях городских поселений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18210905010010000110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реализацию горюче-смазочных материалов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18210905020010000110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операции с ценными бумагами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18210905030010000110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Сбор за использование наименований "Россия", "Российская Федерация" и образованных на их основе слов и словосочетаний</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18210905040010000110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покупку иностранных денежных знаков и платежных документов, выраженных в иностранной валюте</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18210905050010000110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налоги и сборы (по отмененным федеральным налогам и сборам)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18210906010020000110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с продаж</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18210906020020000110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Сбор на нужды образовательных учреждений, взимаемый с юридических лиц</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18210906030020000110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налоги и сборы</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18210907011030000110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рекламу, мобилизуемый на территориях внутригородских муниципальных образований городов федерального значения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18210907012040000110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рекламу, мобилизуемый на территориях городских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18210907012110000110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рекламу, мобилизуемый на территориях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18210907012140000110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Налог на рекламу, мобилизуемый на территориях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18210907013050000110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на рекламу, мобилизуемый на территориях муниципальных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18210907021040000110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Курортный сбор, мобилизуемый на территориях городских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18210907021140000110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Курортный сбор, мобилизуемый на территориях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18210907022050000110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Курортный сбор, мобилизуемый на территориях муниципальных районов</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18210907031030000110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18210907032040000110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18210907032110000110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 внутригородским делением</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18210907032140000110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18210907033050000110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18210907051030000110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местные налоги и сборы, мобилизуемые на территориях внутригородских муниципальных образований городов федерального значения</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18210907052040000110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местные налоги и сборы, мобилизуемые на территориях   городских округов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18210907052110000110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местные налоги и сборы, мобилизуемые на территориях городских округов с внутригородским делением</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18210907052120000110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местные налоги и сборы, мобилизуемые на территориях внутригородских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18210907052140000110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Прочие местные налоги и сборы, мобилизуемые на территориях муниципальных округов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18210907053050000110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Прочие местные налоги и сборы, мобилизуемые на территориях   муниципальных районов</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18210908020060000110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Единый социальный налог, зачисляемый в бюджет Фонда пенсионного и социального страхования Российской Федерации </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18210908020060000140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Недоимка, пени и штрафы по взносам в Пенсионный фонд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18210908040080000140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Недоимка, пени и штрафы по взносам в Федеральный фонд обязательного медицинского страхования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18210908060010000140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18210909010010000110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социальный налог, зачисляемый в федеральный бюджет</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18210909020060000110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социальный налог, зачисляемый в бюджет Фонда социального страхования Российской Федерации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18210909030080000110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Единый социальный налог, зачисляемый в бюджет Федерального фонда обязательного медицинского страхования</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18210910010060000160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proofErr w:type="gramStart"/>
            <w:r w:rsidRPr="00AE4B42">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18210910020060000160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proofErr w:type="gramStart"/>
            <w:r w:rsidRPr="00AE4B42">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roofErr w:type="gramEnd"/>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18210911010020000110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 взимаемый в виде стоимости патента в связи с применением упрощенной системы налогообложения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18210911020020000110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Налоги, взимаемые в виде стоимости патента в связи с применением упрощенной системы налогообложения (за налоговые периоды, истекшие до 1 января 2011 г.)</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18211605160010001140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нарушение порядка постановки на учет в налоговом органе)</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18211605160010002140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18211605160010003140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proofErr w:type="gramStart"/>
            <w:r w:rsidRPr="00AE4B42">
              <w:t>Штрафы за налоговые правонарушения, установленные Главой 16 Налогового кодекса Российской Федерации (штрафы за нарушение установленного способа представления налоговой декларации (расчета)</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18211605160010004140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18211605160010005140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грубое нарушение правил учета доходов и расходов и объектов налогообложения (базы для исчисления страховых взносов))</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18211605160010006140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18211605160010007140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18211605160010008140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18211605160010009140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18211605160010011140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неправомерное несообщение сведений налоговому органу)</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18211605160010012140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нарушение порядка регистрации объектов игорного бизнеса)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18211605160010013140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tc>
      </w:tr>
      <w:tr w:rsidR="00AE4B42" w:rsidRPr="00AE4B42" w:rsidTr="00AE4B42">
        <w:trPr>
          <w:trHeight w:val="102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18211605160010014140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18211605160010015140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Штрафы за налоговые правонарушения, установленные Главой 16 Налогового кодекса Российской Федерации (штрафы за </w:t>
            </w:r>
            <w:proofErr w:type="spellStart"/>
            <w:r w:rsidRPr="00AE4B42">
              <w:t>ненаправление</w:t>
            </w:r>
            <w:proofErr w:type="spellEnd"/>
            <w:r w:rsidRPr="00AE4B42">
              <w:t xml:space="preserve"> (</w:t>
            </w:r>
            <w:proofErr w:type="spellStart"/>
            <w:r w:rsidRPr="00AE4B42">
              <w:t>невключение</w:t>
            </w:r>
            <w:proofErr w:type="spellEnd"/>
            <w:r w:rsidRPr="00AE4B42">
              <w:t>)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18211605160010016140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Штрафы за налоговые правонарушения, установленные Главой 16 Налогового кодекса Российской Федерации (штрафы за нарушение организацией финансового рынка порядка установления налогового </w:t>
            </w:r>
            <w:proofErr w:type="spellStart"/>
            <w:r w:rsidRPr="00AE4B42">
              <w:t>резидентства</w:t>
            </w:r>
            <w:proofErr w:type="spellEnd"/>
            <w:r w:rsidRPr="00AE4B42">
              <w:t xml:space="preserve"> клиентов организаций финансового рынка, выгодоприобретателей и лиц, прямо или косвенно их контролирующих)</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18211605160010017140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lastRenderedPageBreak/>
              <w:t>18211605160010018140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Штрафы за налоговые правонарушения, установленные Главой 16 Налогового кодекса Российской Федерации (штрафы за непредставление </w:t>
            </w:r>
            <w:proofErr w:type="spellStart"/>
            <w:r w:rsidRPr="00AE4B42">
              <w:t>странового</w:t>
            </w:r>
            <w:proofErr w:type="spellEnd"/>
            <w:r w:rsidRPr="00AE4B42">
              <w:t xml:space="preserve"> отчета, представление </w:t>
            </w:r>
            <w:proofErr w:type="spellStart"/>
            <w:r w:rsidRPr="00AE4B42">
              <w:t>странового</w:t>
            </w:r>
            <w:proofErr w:type="spellEnd"/>
            <w:r w:rsidRPr="00AE4B42">
              <w:t xml:space="preserve"> отчета, содержащего недостоверные сведения)</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18211605160010019140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непредставление документации по международной группе компаний)</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18211605160010020140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proofErr w:type="gramStart"/>
            <w:r w:rsidRPr="00AE4B42">
              <w:t>Штрафы за налоговые правонарушения, установленные Главой 16 Налогового кодекса Российской Федерации (штрафы за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roofErr w:type="gramEnd"/>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18211605160010021140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налоговые правонарушения, установленные Главой 16 Налогового кодекса Российской Федерации (штрафы за нарушение порядка и (или) сроков передачи сведений о произведенных расчетах операторами электронных площадок и кредитными организациями)</w:t>
            </w:r>
          </w:p>
        </w:tc>
      </w:tr>
      <w:tr w:rsidR="00AE4B42" w:rsidRPr="00AE4B42" w:rsidTr="00AE4B42">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18211605180010000140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 xml:space="preserve">Штрафы за нарушения банком обязанностей, установленных Главой 18 Налогового кодекса Российской Федерации </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18211605180010001140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нарушение банком порядка открытия счета)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18211605180010002140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18211605180010003140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r>
      <w:tr w:rsidR="00AE4B42" w:rsidRPr="00AE4B42" w:rsidTr="00AE4B42">
        <w:trPr>
          <w:trHeight w:val="76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18211605180010004140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18211605180010005140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непредставление банком справок (выписок) по операциям и счетам (счету инвестиционного товарищества) в налоговый орган)</w:t>
            </w:r>
          </w:p>
        </w:tc>
      </w:tr>
      <w:tr w:rsidR="00AE4B42" w:rsidRPr="00AE4B42" w:rsidTr="00AE4B42">
        <w:trPr>
          <w:trHeight w:val="51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AE4B42" w:rsidRPr="00AE4B42" w:rsidRDefault="00AE4B42" w:rsidP="00AE4B42">
            <w:pPr>
              <w:autoSpaceDE/>
              <w:autoSpaceDN/>
            </w:pPr>
            <w:r w:rsidRPr="00AE4B42">
              <w:t>18211605180010006140</w:t>
            </w:r>
          </w:p>
        </w:tc>
        <w:tc>
          <w:tcPr>
            <w:tcW w:w="6945" w:type="dxa"/>
            <w:tcBorders>
              <w:top w:val="nil"/>
              <w:left w:val="nil"/>
              <w:bottom w:val="single" w:sz="4" w:space="0" w:color="auto"/>
              <w:right w:val="single" w:sz="4" w:space="0" w:color="auto"/>
            </w:tcBorders>
            <w:shd w:val="clear" w:color="auto" w:fill="auto"/>
            <w:vAlign w:val="bottom"/>
            <w:hideMark/>
          </w:tcPr>
          <w:p w:rsidR="00AE4B42" w:rsidRPr="00AE4B42" w:rsidRDefault="00AE4B42" w:rsidP="00AE4B42">
            <w:pPr>
              <w:autoSpaceDE/>
              <w:autoSpaceDN/>
            </w:pPr>
            <w:r w:rsidRPr="00AE4B42">
              <w:t>Штрафы за нарушения банком обязанностей, установленных Главой 18 Налогового кодекса Российской Федерации (штрафы за нарушение банком обязанностей, связанных с электронными денежными средствами)</w:t>
            </w:r>
          </w:p>
        </w:tc>
      </w:tr>
    </w:tbl>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p w:rsidR="00AE4B42" w:rsidRDefault="00AE4B42"/>
    <w:sectPr w:rsidR="00AE4B42" w:rsidSect="00AE4B42">
      <w:pgSz w:w="11906" w:h="16838"/>
      <w:pgMar w:top="680" w:right="567" w:bottom="567" w:left="1134" w:header="284" w:footer="284"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F4" w:rsidRDefault="00D864F4">
      <w:r>
        <w:separator/>
      </w:r>
    </w:p>
  </w:endnote>
  <w:endnote w:type="continuationSeparator" w:id="0">
    <w:p w:rsidR="00D864F4" w:rsidRDefault="00D8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F4" w:rsidRDefault="00D864F4">
      <w:r>
        <w:separator/>
      </w:r>
    </w:p>
  </w:footnote>
  <w:footnote w:type="continuationSeparator" w:id="0">
    <w:p w:rsidR="00D864F4" w:rsidRDefault="00D8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E9"/>
    <w:rsid w:val="00014AB7"/>
    <w:rsid w:val="00052C4C"/>
    <w:rsid w:val="00086908"/>
    <w:rsid w:val="000B1B33"/>
    <w:rsid w:val="000C2A31"/>
    <w:rsid w:val="000C7E7E"/>
    <w:rsid w:val="000F78B1"/>
    <w:rsid w:val="0015096C"/>
    <w:rsid w:val="0015299D"/>
    <w:rsid w:val="00163BAC"/>
    <w:rsid w:val="00192256"/>
    <w:rsid w:val="001B23AE"/>
    <w:rsid w:val="001D6699"/>
    <w:rsid w:val="0028073C"/>
    <w:rsid w:val="002C3B7F"/>
    <w:rsid w:val="002C7F8E"/>
    <w:rsid w:val="002F006E"/>
    <w:rsid w:val="002F2BBB"/>
    <w:rsid w:val="0030592E"/>
    <w:rsid w:val="003D4220"/>
    <w:rsid w:val="00417554"/>
    <w:rsid w:val="00417F5B"/>
    <w:rsid w:val="00466232"/>
    <w:rsid w:val="004710E6"/>
    <w:rsid w:val="00487796"/>
    <w:rsid w:val="004A62E9"/>
    <w:rsid w:val="004D5EDF"/>
    <w:rsid w:val="004D7902"/>
    <w:rsid w:val="004F4AD3"/>
    <w:rsid w:val="004F6475"/>
    <w:rsid w:val="0051328D"/>
    <w:rsid w:val="00524583"/>
    <w:rsid w:val="00554089"/>
    <w:rsid w:val="0056179E"/>
    <w:rsid w:val="005B60D1"/>
    <w:rsid w:val="005E07C2"/>
    <w:rsid w:val="0060056C"/>
    <w:rsid w:val="00620292"/>
    <w:rsid w:val="00631FD2"/>
    <w:rsid w:val="00652214"/>
    <w:rsid w:val="00696605"/>
    <w:rsid w:val="006D175C"/>
    <w:rsid w:val="006E5019"/>
    <w:rsid w:val="00704703"/>
    <w:rsid w:val="007134BC"/>
    <w:rsid w:val="007944DB"/>
    <w:rsid w:val="007C3487"/>
    <w:rsid w:val="007D647C"/>
    <w:rsid w:val="008003A3"/>
    <w:rsid w:val="00825915"/>
    <w:rsid w:val="008628F0"/>
    <w:rsid w:val="00865465"/>
    <w:rsid w:val="008846C7"/>
    <w:rsid w:val="008C0969"/>
    <w:rsid w:val="008C6906"/>
    <w:rsid w:val="008D191E"/>
    <w:rsid w:val="0092106E"/>
    <w:rsid w:val="009B082B"/>
    <w:rsid w:val="009C0AE2"/>
    <w:rsid w:val="009F5F7E"/>
    <w:rsid w:val="00A00F52"/>
    <w:rsid w:val="00A23932"/>
    <w:rsid w:val="00A25A88"/>
    <w:rsid w:val="00A909A6"/>
    <w:rsid w:val="00AB274C"/>
    <w:rsid w:val="00AE4B42"/>
    <w:rsid w:val="00B5046D"/>
    <w:rsid w:val="00B74F1E"/>
    <w:rsid w:val="00B7698C"/>
    <w:rsid w:val="00C277E2"/>
    <w:rsid w:val="00C41D24"/>
    <w:rsid w:val="00C64F6D"/>
    <w:rsid w:val="00C6649F"/>
    <w:rsid w:val="00D30F96"/>
    <w:rsid w:val="00D34BF3"/>
    <w:rsid w:val="00D607D4"/>
    <w:rsid w:val="00D63888"/>
    <w:rsid w:val="00D864F4"/>
    <w:rsid w:val="00D9078E"/>
    <w:rsid w:val="00DA481C"/>
    <w:rsid w:val="00DA5BB8"/>
    <w:rsid w:val="00E00B2D"/>
    <w:rsid w:val="00E20AC7"/>
    <w:rsid w:val="00E94B1E"/>
    <w:rsid w:val="00EB7C33"/>
    <w:rsid w:val="00EE68E1"/>
    <w:rsid w:val="00F51F3F"/>
    <w:rsid w:val="00F627AC"/>
    <w:rsid w:val="00F6656A"/>
    <w:rsid w:val="00F73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5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2256"/>
    <w:pPr>
      <w:tabs>
        <w:tab w:val="center" w:pos="4153"/>
        <w:tab w:val="right" w:pos="8306"/>
      </w:tabs>
    </w:pPr>
  </w:style>
  <w:style w:type="character" w:customStyle="1" w:styleId="a4">
    <w:name w:val="Верхний колонтитул Знак"/>
    <w:basedOn w:val="a0"/>
    <w:link w:val="a3"/>
    <w:uiPriority w:val="99"/>
    <w:semiHidden/>
    <w:rsid w:val="00192256"/>
    <w:rPr>
      <w:sz w:val="20"/>
      <w:szCs w:val="20"/>
    </w:rPr>
  </w:style>
  <w:style w:type="paragraph" w:styleId="a5">
    <w:name w:val="footer"/>
    <w:basedOn w:val="a"/>
    <w:link w:val="a6"/>
    <w:uiPriority w:val="99"/>
    <w:rsid w:val="00192256"/>
    <w:pPr>
      <w:tabs>
        <w:tab w:val="center" w:pos="4153"/>
        <w:tab w:val="right" w:pos="8306"/>
      </w:tabs>
    </w:pPr>
  </w:style>
  <w:style w:type="character" w:customStyle="1" w:styleId="a6">
    <w:name w:val="Нижний колонтитул Знак"/>
    <w:basedOn w:val="a0"/>
    <w:link w:val="a5"/>
    <w:uiPriority w:val="99"/>
    <w:semiHidden/>
    <w:rsid w:val="00192256"/>
    <w:rPr>
      <w:sz w:val="20"/>
      <w:szCs w:val="20"/>
    </w:rPr>
  </w:style>
  <w:style w:type="paragraph" w:styleId="a7">
    <w:name w:val="Balloon Text"/>
    <w:basedOn w:val="a"/>
    <w:link w:val="a8"/>
    <w:uiPriority w:val="99"/>
    <w:semiHidden/>
    <w:unhideWhenUsed/>
    <w:rsid w:val="00052C4C"/>
    <w:rPr>
      <w:rFonts w:ascii="Segoe UI" w:hAnsi="Segoe UI" w:cs="Segoe UI"/>
      <w:sz w:val="18"/>
      <w:szCs w:val="18"/>
    </w:rPr>
  </w:style>
  <w:style w:type="character" w:customStyle="1" w:styleId="a8">
    <w:name w:val="Текст выноски Знак"/>
    <w:basedOn w:val="a0"/>
    <w:link w:val="a7"/>
    <w:uiPriority w:val="99"/>
    <w:semiHidden/>
    <w:rsid w:val="00052C4C"/>
    <w:rPr>
      <w:rFonts w:ascii="Segoe UI" w:hAnsi="Segoe UI" w:cs="Segoe UI"/>
      <w:sz w:val="18"/>
      <w:szCs w:val="18"/>
    </w:rPr>
  </w:style>
  <w:style w:type="paragraph" w:customStyle="1" w:styleId="Default">
    <w:name w:val="Default"/>
    <w:rsid w:val="00DA481C"/>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39"/>
    <w:rsid w:val="0088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AE4B42"/>
    <w:rPr>
      <w:color w:val="0563C1"/>
      <w:u w:val="single"/>
    </w:rPr>
  </w:style>
  <w:style w:type="character" w:styleId="ab">
    <w:name w:val="FollowedHyperlink"/>
    <w:basedOn w:val="a0"/>
    <w:uiPriority w:val="99"/>
    <w:semiHidden/>
    <w:unhideWhenUsed/>
    <w:rsid w:val="00AE4B42"/>
    <w:rPr>
      <w:color w:val="954F72"/>
      <w:u w:val="single"/>
    </w:rPr>
  </w:style>
  <w:style w:type="paragraph" w:customStyle="1" w:styleId="xl65">
    <w:name w:val="xl65"/>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66">
    <w:name w:val="xl66"/>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7">
    <w:name w:val="xl67"/>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8">
    <w:name w:val="xl68"/>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9">
    <w:name w:val="xl69"/>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0">
    <w:name w:val="xl70"/>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1">
    <w:name w:val="xl71"/>
    <w:basedOn w:val="a"/>
    <w:rsid w:val="00AE4B42"/>
    <w:pPr>
      <w:autoSpaceDE/>
      <w:autoSpaceDN/>
      <w:spacing w:before="100" w:beforeAutospacing="1" w:after="100" w:afterAutospacing="1"/>
      <w:jc w:val="right"/>
    </w:pPr>
  </w:style>
  <w:style w:type="paragraph" w:customStyle="1" w:styleId="xl72">
    <w:name w:val="xl72"/>
    <w:basedOn w:val="a"/>
    <w:rsid w:val="00AE4B42"/>
    <w:pPr>
      <w:autoSpaceDE/>
      <w:autoSpaceDN/>
      <w:spacing w:before="100" w:beforeAutospacing="1" w:after="100" w:afterAutospacing="1"/>
    </w:pPr>
  </w:style>
  <w:style w:type="paragraph" w:customStyle="1" w:styleId="xl73">
    <w:name w:val="xl73"/>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style>
  <w:style w:type="paragraph" w:customStyle="1" w:styleId="xl74">
    <w:name w:val="xl74"/>
    <w:basedOn w:val="a"/>
    <w:rsid w:val="00AE4B42"/>
    <w:pPr>
      <w:autoSpaceDE/>
      <w:autoSpaceDN/>
      <w:spacing w:before="100" w:beforeAutospacing="1" w:after="100" w:afterAutospacing="1"/>
    </w:pPr>
  </w:style>
  <w:style w:type="paragraph" w:customStyle="1" w:styleId="xl75">
    <w:name w:val="xl75"/>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6">
    <w:name w:val="xl76"/>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7">
    <w:name w:val="xl77"/>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78">
    <w:name w:val="xl78"/>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style>
  <w:style w:type="paragraph" w:customStyle="1" w:styleId="xl79">
    <w:name w:val="xl79"/>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80">
    <w:name w:val="xl80"/>
    <w:basedOn w:val="a"/>
    <w:rsid w:val="00AE4B42"/>
    <w:pPr>
      <w:autoSpaceDE/>
      <w:autoSpaceDN/>
      <w:spacing w:before="100" w:beforeAutospacing="1" w:after="100" w:afterAutospacing="1"/>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5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2256"/>
    <w:pPr>
      <w:tabs>
        <w:tab w:val="center" w:pos="4153"/>
        <w:tab w:val="right" w:pos="8306"/>
      </w:tabs>
    </w:pPr>
  </w:style>
  <w:style w:type="character" w:customStyle="1" w:styleId="a4">
    <w:name w:val="Верхний колонтитул Знак"/>
    <w:basedOn w:val="a0"/>
    <w:link w:val="a3"/>
    <w:uiPriority w:val="99"/>
    <w:semiHidden/>
    <w:rsid w:val="00192256"/>
    <w:rPr>
      <w:sz w:val="20"/>
      <w:szCs w:val="20"/>
    </w:rPr>
  </w:style>
  <w:style w:type="paragraph" w:styleId="a5">
    <w:name w:val="footer"/>
    <w:basedOn w:val="a"/>
    <w:link w:val="a6"/>
    <w:uiPriority w:val="99"/>
    <w:rsid w:val="00192256"/>
    <w:pPr>
      <w:tabs>
        <w:tab w:val="center" w:pos="4153"/>
        <w:tab w:val="right" w:pos="8306"/>
      </w:tabs>
    </w:pPr>
  </w:style>
  <w:style w:type="character" w:customStyle="1" w:styleId="a6">
    <w:name w:val="Нижний колонтитул Знак"/>
    <w:basedOn w:val="a0"/>
    <w:link w:val="a5"/>
    <w:uiPriority w:val="99"/>
    <w:semiHidden/>
    <w:rsid w:val="00192256"/>
    <w:rPr>
      <w:sz w:val="20"/>
      <w:szCs w:val="20"/>
    </w:rPr>
  </w:style>
  <w:style w:type="paragraph" w:styleId="a7">
    <w:name w:val="Balloon Text"/>
    <w:basedOn w:val="a"/>
    <w:link w:val="a8"/>
    <w:uiPriority w:val="99"/>
    <w:semiHidden/>
    <w:unhideWhenUsed/>
    <w:rsid w:val="00052C4C"/>
    <w:rPr>
      <w:rFonts w:ascii="Segoe UI" w:hAnsi="Segoe UI" w:cs="Segoe UI"/>
      <w:sz w:val="18"/>
      <w:szCs w:val="18"/>
    </w:rPr>
  </w:style>
  <w:style w:type="character" w:customStyle="1" w:styleId="a8">
    <w:name w:val="Текст выноски Знак"/>
    <w:basedOn w:val="a0"/>
    <w:link w:val="a7"/>
    <w:uiPriority w:val="99"/>
    <w:semiHidden/>
    <w:rsid w:val="00052C4C"/>
    <w:rPr>
      <w:rFonts w:ascii="Segoe UI" w:hAnsi="Segoe UI" w:cs="Segoe UI"/>
      <w:sz w:val="18"/>
      <w:szCs w:val="18"/>
    </w:rPr>
  </w:style>
  <w:style w:type="paragraph" w:customStyle="1" w:styleId="Default">
    <w:name w:val="Default"/>
    <w:rsid w:val="00DA481C"/>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39"/>
    <w:rsid w:val="0088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AE4B42"/>
    <w:rPr>
      <w:color w:val="0563C1"/>
      <w:u w:val="single"/>
    </w:rPr>
  </w:style>
  <w:style w:type="character" w:styleId="ab">
    <w:name w:val="FollowedHyperlink"/>
    <w:basedOn w:val="a0"/>
    <w:uiPriority w:val="99"/>
    <w:semiHidden/>
    <w:unhideWhenUsed/>
    <w:rsid w:val="00AE4B42"/>
    <w:rPr>
      <w:color w:val="954F72"/>
      <w:u w:val="single"/>
    </w:rPr>
  </w:style>
  <w:style w:type="paragraph" w:customStyle="1" w:styleId="xl65">
    <w:name w:val="xl65"/>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66">
    <w:name w:val="xl66"/>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7">
    <w:name w:val="xl67"/>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8">
    <w:name w:val="xl68"/>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9">
    <w:name w:val="xl69"/>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0">
    <w:name w:val="xl70"/>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1">
    <w:name w:val="xl71"/>
    <w:basedOn w:val="a"/>
    <w:rsid w:val="00AE4B42"/>
    <w:pPr>
      <w:autoSpaceDE/>
      <w:autoSpaceDN/>
      <w:spacing w:before="100" w:beforeAutospacing="1" w:after="100" w:afterAutospacing="1"/>
      <w:jc w:val="right"/>
    </w:pPr>
  </w:style>
  <w:style w:type="paragraph" w:customStyle="1" w:styleId="xl72">
    <w:name w:val="xl72"/>
    <w:basedOn w:val="a"/>
    <w:rsid w:val="00AE4B42"/>
    <w:pPr>
      <w:autoSpaceDE/>
      <w:autoSpaceDN/>
      <w:spacing w:before="100" w:beforeAutospacing="1" w:after="100" w:afterAutospacing="1"/>
    </w:pPr>
  </w:style>
  <w:style w:type="paragraph" w:customStyle="1" w:styleId="xl73">
    <w:name w:val="xl73"/>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style>
  <w:style w:type="paragraph" w:customStyle="1" w:styleId="xl74">
    <w:name w:val="xl74"/>
    <w:basedOn w:val="a"/>
    <w:rsid w:val="00AE4B42"/>
    <w:pPr>
      <w:autoSpaceDE/>
      <w:autoSpaceDN/>
      <w:spacing w:before="100" w:beforeAutospacing="1" w:after="100" w:afterAutospacing="1"/>
    </w:pPr>
  </w:style>
  <w:style w:type="paragraph" w:customStyle="1" w:styleId="xl75">
    <w:name w:val="xl75"/>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6">
    <w:name w:val="xl76"/>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7">
    <w:name w:val="xl77"/>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78">
    <w:name w:val="xl78"/>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style>
  <w:style w:type="paragraph" w:customStyle="1" w:styleId="xl79">
    <w:name w:val="xl79"/>
    <w:basedOn w:val="a"/>
    <w:rsid w:val="00AE4B4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80">
    <w:name w:val="xl80"/>
    <w:basedOn w:val="a"/>
    <w:rsid w:val="00AE4B42"/>
    <w:pPr>
      <w:autoSpaceDE/>
      <w:autoSpaceDN/>
      <w:spacing w:before="100" w:beforeAutospacing="1" w:after="100" w:afterAutospacing="1"/>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5611">
      <w:bodyDiv w:val="1"/>
      <w:marLeft w:val="0"/>
      <w:marRight w:val="0"/>
      <w:marTop w:val="0"/>
      <w:marBottom w:val="0"/>
      <w:divBdr>
        <w:top w:val="none" w:sz="0" w:space="0" w:color="auto"/>
        <w:left w:val="none" w:sz="0" w:space="0" w:color="auto"/>
        <w:bottom w:val="none" w:sz="0" w:space="0" w:color="auto"/>
        <w:right w:val="none" w:sz="0" w:space="0" w:color="auto"/>
      </w:divBdr>
    </w:div>
    <w:div w:id="365103447">
      <w:bodyDiv w:val="1"/>
      <w:marLeft w:val="0"/>
      <w:marRight w:val="0"/>
      <w:marTop w:val="0"/>
      <w:marBottom w:val="0"/>
      <w:divBdr>
        <w:top w:val="none" w:sz="0" w:space="0" w:color="auto"/>
        <w:left w:val="none" w:sz="0" w:space="0" w:color="auto"/>
        <w:bottom w:val="none" w:sz="0" w:space="0" w:color="auto"/>
        <w:right w:val="none" w:sz="0" w:space="0" w:color="auto"/>
      </w:divBdr>
    </w:div>
    <w:div w:id="4969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6661</Words>
  <Characters>51153</Characters>
  <Application>Microsoft Office Word</Application>
  <DocSecurity>0</DocSecurity>
  <Lines>426</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Носкова Ольга Владимировна</cp:lastModifiedBy>
  <cp:revision>6</cp:revision>
  <cp:lastPrinted>2023-01-10T09:21:00Z</cp:lastPrinted>
  <dcterms:created xsi:type="dcterms:W3CDTF">2023-01-10T08:10:00Z</dcterms:created>
  <dcterms:modified xsi:type="dcterms:W3CDTF">2023-01-10T09:25:00Z</dcterms:modified>
</cp:coreProperties>
</file>