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04B" w:rsidRPr="0070304B" w:rsidRDefault="0070304B" w:rsidP="0070304B">
      <w:pPr>
        <w:shd w:val="clear" w:color="auto" w:fill="E3F1FA"/>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14:ligatures w14:val="none"/>
        </w:rPr>
      </w:pPr>
      <w:r w:rsidRPr="0070304B">
        <w:rPr>
          <w:rFonts w:ascii="Times New Roman" w:eastAsia="Times New Roman" w:hAnsi="Times New Roman" w:cs="Times New Roman"/>
          <w:b/>
          <w:bCs/>
          <w:color w:val="000000"/>
          <w:kern w:val="36"/>
          <w:sz w:val="48"/>
          <w:szCs w:val="48"/>
          <w:lang w:eastAsia="ru-RU"/>
          <w14:ligatures w14:val="none"/>
        </w:rPr>
        <w:t>Информация о социально-экономическом развитии города Белокурихи в 2017 году.</w:t>
      </w:r>
    </w:p>
    <w:tbl>
      <w:tblPr>
        <w:tblW w:w="5000" w:type="pct"/>
        <w:shd w:val="clear" w:color="auto" w:fill="E3F1FA"/>
        <w:tblCellMar>
          <w:top w:w="30" w:type="dxa"/>
          <w:left w:w="30" w:type="dxa"/>
          <w:bottom w:w="30" w:type="dxa"/>
          <w:right w:w="30" w:type="dxa"/>
        </w:tblCellMar>
        <w:tblLook w:val="04A0" w:firstRow="1" w:lastRow="0" w:firstColumn="1" w:lastColumn="0" w:noHBand="0" w:noVBand="1"/>
      </w:tblPr>
      <w:tblGrid>
        <w:gridCol w:w="9355"/>
      </w:tblGrid>
      <w:tr w:rsidR="0070304B" w:rsidRPr="0070304B" w:rsidTr="0070304B">
        <w:tc>
          <w:tcPr>
            <w:tcW w:w="4250" w:type="pct"/>
            <w:shd w:val="clear" w:color="auto" w:fill="E3F1FA"/>
            <w:vAlign w:val="center"/>
            <w:hideMark/>
          </w:tcPr>
          <w:p w:rsidR="0070304B" w:rsidRPr="0070304B" w:rsidRDefault="0070304B" w:rsidP="0070304B">
            <w:pPr>
              <w:spacing w:after="0" w:line="240" w:lineRule="auto"/>
              <w:rPr>
                <w:rFonts w:ascii="Times New Roman" w:eastAsia="Times New Roman" w:hAnsi="Times New Roman" w:cs="Times New Roman"/>
                <w:color w:val="000000"/>
                <w:kern w:val="0"/>
                <w:sz w:val="27"/>
                <w:szCs w:val="27"/>
                <w:lang w:eastAsia="ru-RU"/>
                <w14:ligatures w14:val="none"/>
              </w:rPr>
            </w:pPr>
            <w:hyperlink r:id="rId4" w:history="1">
              <w:r w:rsidRPr="0070304B">
                <w:rPr>
                  <w:rFonts w:ascii="Times New Roman" w:eastAsia="Times New Roman" w:hAnsi="Times New Roman" w:cs="Times New Roman"/>
                  <w:color w:val="0000FF"/>
                  <w:kern w:val="0"/>
                  <w:sz w:val="27"/>
                  <w:szCs w:val="27"/>
                  <w:u w:val="single"/>
                  <w:lang w:eastAsia="ru-RU"/>
                  <w14:ligatures w14:val="none"/>
                </w:rPr>
                <w:t> Скачать</w:t>
              </w:r>
            </w:hyperlink>
            <w:r w:rsidRPr="0070304B">
              <w:rPr>
                <w:rFonts w:ascii="Times New Roman" w:eastAsia="Times New Roman" w:hAnsi="Times New Roman" w:cs="Times New Roman"/>
                <w:color w:val="000000"/>
                <w:kern w:val="0"/>
                <w:sz w:val="27"/>
                <w:szCs w:val="27"/>
                <w:lang w:eastAsia="ru-RU"/>
                <w14:ligatures w14:val="none"/>
              </w:rPr>
              <w:t> (58.5 Kb)</w:t>
            </w:r>
          </w:p>
        </w:tc>
      </w:tr>
      <w:tr w:rsidR="0070304B" w:rsidRPr="0070304B" w:rsidTr="0070304B">
        <w:tc>
          <w:tcPr>
            <w:tcW w:w="0" w:type="auto"/>
            <w:shd w:val="clear" w:color="auto" w:fill="E3F1FA"/>
            <w:vAlign w:val="center"/>
            <w:hideMark/>
          </w:tcPr>
          <w:p w:rsidR="0070304B" w:rsidRPr="0070304B" w:rsidRDefault="0070304B" w:rsidP="0070304B">
            <w:pPr>
              <w:spacing w:after="0" w:line="240" w:lineRule="auto"/>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br/>
            </w:r>
            <w:r w:rsidRPr="0070304B">
              <w:rPr>
                <w:rFonts w:ascii="Times New Roman" w:eastAsia="Times New Roman" w:hAnsi="Times New Roman" w:cs="Times New Roman"/>
                <w:b/>
                <w:bCs/>
                <w:color w:val="000000"/>
                <w:kern w:val="0"/>
                <w:sz w:val="27"/>
                <w:szCs w:val="27"/>
                <w:lang w:eastAsia="ru-RU"/>
                <w14:ligatures w14:val="none"/>
              </w:rPr>
              <w:t>Описание:</w:t>
            </w:r>
          </w:p>
          <w:p w:rsidR="0070304B" w:rsidRPr="0070304B" w:rsidRDefault="0070304B" w:rsidP="0070304B">
            <w:pPr>
              <w:spacing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7626"/>
            </w:tblGrid>
            <w:tr w:rsidR="0070304B" w:rsidRPr="0070304B" w:rsidTr="0070304B">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b/>
                      <w:bCs/>
                      <w:kern w:val="0"/>
                      <w:sz w:val="24"/>
                      <w:szCs w:val="24"/>
                      <w:lang w:eastAsia="ru-RU"/>
                      <w14:ligatures w14:val="none"/>
                    </w:rPr>
                    <w:t>Информация о социально-экономическом развитии</w:t>
                  </w:r>
                </w:p>
              </w:tc>
            </w:tr>
            <w:tr w:rsidR="0070304B" w:rsidRPr="0070304B" w:rsidTr="0070304B">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b/>
                      <w:bCs/>
                      <w:kern w:val="0"/>
                      <w:sz w:val="24"/>
                      <w:szCs w:val="24"/>
                      <w:lang w:eastAsia="ru-RU"/>
                      <w14:ligatures w14:val="none"/>
                    </w:rPr>
                    <w:t>города Белокурихи в 2017 году.</w:t>
                  </w:r>
                </w:p>
              </w:tc>
            </w:tr>
            <w:tr w:rsidR="0070304B" w:rsidRPr="0070304B" w:rsidTr="0070304B">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kern w:val="0"/>
                      <w:sz w:val="24"/>
                      <w:szCs w:val="24"/>
                      <w:lang w:eastAsia="ru-RU"/>
                      <w14:ligatures w14:val="none"/>
                    </w:rPr>
                    <w:t>(официальное наименование городского округа (муниципального района)</w:t>
                  </w:r>
                </w:p>
              </w:tc>
            </w:tr>
          </w:tbl>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br/>
            </w:r>
            <w:r w:rsidRPr="0070304B">
              <w:rPr>
                <w:rFonts w:ascii="Times New Roman" w:eastAsia="Times New Roman" w:hAnsi="Times New Roman" w:cs="Times New Roman"/>
                <w:color w:val="000000"/>
                <w:kern w:val="0"/>
                <w:sz w:val="27"/>
                <w:szCs w:val="27"/>
                <w:lang w:eastAsia="ru-RU"/>
                <w14:ligatures w14:val="none"/>
              </w:rPr>
              <w:b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Промышленное производство</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Объем промышленного производства по городу в 2017 году сложился в сумме 564,5 млн. руб., против 549,3 млн.руб. в 2016 году, в результате индекс промышленного производства составил 91,5%. В структуре выпуска промышленной продукции основную долю 59 % занимает тепловая энергия, вырабатываемая АО «Теплоцентраль Белокуриха».</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Реализация инвестиционных проектов на территории городского округа</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xml:space="preserve">Инвестиционная активность предприятий и организаций города Белокуриха, в последние годы имела тенденцию к росту, в связи с активным строительством объектов инфраструкуры на ТРК «Белокуриха -2». Однако, в 2017 году объем инвестиций в основной капитал по полному кругу предприятий и организаций снизился к уровню предыдущего года и составил 494 млн.руб., уменьшение произошло за счет оплаты основной части работ по строительству ТРК «Белокуриха -2» в 2015 – 2016 годах. Основными участниками инвестиционного процесса в городе являются санаторно-курортные организации, доля которых в общем объеме инвестиций по городу составляет 81%. В целях улучшения инвестиционной привлекательности города в 2017 году администрацией города проведена значительная работа по формированию условий для ведения предпринимательской и инвестиционной деятельности. В целях оперативного предоставления актуальной информации об инвестиционном потенциале муниципального образования, механизмах поддержки инвестиционной деятельности, нормативно-правовой базе в сфере инвестиций, на муниципальном уровне создан специализированный интернет – ресурс (на </w:t>
            </w:r>
            <w:r w:rsidRPr="0070304B">
              <w:rPr>
                <w:rFonts w:ascii="Times New Roman" w:eastAsia="Times New Roman" w:hAnsi="Times New Roman" w:cs="Times New Roman"/>
                <w:color w:val="000000"/>
                <w:kern w:val="0"/>
                <w:sz w:val="27"/>
                <w:szCs w:val="27"/>
                <w:lang w:eastAsia="ru-RU"/>
                <w14:ligatures w14:val="none"/>
              </w:rPr>
              <w:lastRenderedPageBreak/>
              <w:t>официальном сайте администрации города отдельная вкладка), посвященный инвестиционной деятельности.</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Состояние малого и среднего предпринимательства, меры государственной поддержки малого и среднего предпринимательства</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Бизнес-сообщество города по состоянию на 01 января 2018 года насчитывало 907 субъектов малого предпринимательства. Среднесписочная численность работников малых предприятий составила 1420 человек, число индивидуальных предпринимателей и работающих по найму у отдельных граждан составляет 937 человек. Всего в малом бизнесе задействовано более 2357 работников или 28,7% от общего числа занятых в экономике города.</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Ситуация на рынке труда</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В сравнении с 2017 годом численность занятых в экономике города снизилась на 3,1% и составила 8194 человека. Отрицательная динамика по показателям занятости наблюдается на крупных и средних предприятиях города и у индивидуальных предпринимателей, что обусловлено влиянием процессов, происходящих в экономике. Создано 132 новых рабочих места. Уровень регистрируемой безработицы составил 1,2% от экономически активного населения. Коэффициент напряженности на рынке труда – 0,7% (число безработных на одну вакансию). Основными проблемами рынка труда остаются качественные диспропорции, структура предлагаемых вакансий не всегда соответствует профессионально-квалификационному составу граждан, обратившихся в органы государственной службы занятости населения за содействием в трудоустройстве. Еще одна проблема, которая мешает развитию рынка труда – это его ориентация на профессии в сфере бытового обслуживания, в то время как ена рыноке образовательных услуг востребованы в основном профессии служащих.</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Уровень жизни населения</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xml:space="preserve">Среднемесячная номинальная зарплата по крупным и средним организациям в городе за минувший год выросла на 5,3 % и составила 28 195 рублей, по полному кругу среднемесячная зарплата – 25 156 рублей, что на 11% </w:t>
            </w:r>
            <w:proofErr w:type="gramStart"/>
            <w:r w:rsidRPr="0070304B">
              <w:rPr>
                <w:rFonts w:ascii="Times New Roman" w:eastAsia="Times New Roman" w:hAnsi="Times New Roman" w:cs="Times New Roman"/>
                <w:color w:val="000000"/>
                <w:kern w:val="0"/>
                <w:sz w:val="27"/>
                <w:szCs w:val="27"/>
                <w:lang w:eastAsia="ru-RU"/>
                <w14:ligatures w14:val="none"/>
              </w:rPr>
              <w:t>выше</w:t>
            </w:r>
            <w:proofErr w:type="gramEnd"/>
            <w:r w:rsidRPr="0070304B">
              <w:rPr>
                <w:rFonts w:ascii="Times New Roman" w:eastAsia="Times New Roman" w:hAnsi="Times New Roman" w:cs="Times New Roman"/>
                <w:color w:val="000000"/>
                <w:kern w:val="0"/>
                <w:sz w:val="27"/>
                <w:szCs w:val="27"/>
                <w:lang w:eastAsia="ru-RU"/>
                <w14:ligatures w14:val="none"/>
              </w:rPr>
              <w:t xml:space="preserve"> чем средняя заработная плата в Алтайском крае. Средмесяцная заработная плата на одного работника бюджетной сферы за 2017 год составила 21381 руб., что на 21% выше уровня 2016 года. Рост данного показателя отмечается во всех учреждениях бюджетной сферы и обусловлен реализацией Указа Президента РФ от 07.05.2012 № 597 «О мероприятиях по реализации государственной социальной политики» </w:t>
            </w:r>
            <w:r w:rsidRPr="0070304B">
              <w:rPr>
                <w:rFonts w:ascii="Times New Roman" w:eastAsia="Times New Roman" w:hAnsi="Times New Roman" w:cs="Times New Roman"/>
                <w:color w:val="000000"/>
                <w:kern w:val="0"/>
                <w:sz w:val="27"/>
                <w:szCs w:val="27"/>
                <w:lang w:eastAsia="ru-RU"/>
                <w14:ligatures w14:val="none"/>
              </w:rPr>
              <w:lastRenderedPageBreak/>
              <w:t>по поэтапному повышению заработной платы отдельных категорий работников бюджетной сферы. С этой целью в бюджете города были предусмотрены дополнительные бюджетные ассигнования на повышение оплаты труда. Целевые показатели, определенные планом мероприятий («дорожной картой»), достигнуты. Уровень средней заработной платы составил: - 19063 руб. - работников учреждений культуры; - 20979 руб.- педагогических работников учреждений дополнительного образования; - 22435 руб. - педагогических работников организаций дошкольного образования; - 21136 руб. - педагогических работников организаций общего образования.</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Состояние местных бюджетов</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xml:space="preserve">Муниципальные финансы являются основой экономического процесса местного самоуправления и служат базой для решения проблем эффективного функционирования и развития объектов инфраструктуры муниципального образования. За 2017 год в бюджет города поступило 319 млн.руб. По сравнению с 2016 годом доходы бюджета уменьшились на 232 млн.руб. или на 42%, за счет снижения безвозмездных поступлений. Уточненный план года исполнен на 100,1%. Около 63% поступивших доходов составляют налоговые и неналоговые поступления, из них: налоговые – 165,8 млн.руб., неналоговые – около 34,4 млн.руб. Основной источник налоговых поступлений – налог на доходы физических лиц. На его долю приходится почти 36% налоговых доходов. В сравнении с 2016 годом поступления данного налога увеличились на 3,1% или 1,8 млн.руб. за счет увеличения фонда заработной платы. Доля земельного налога составляет 33,2% или 55,1 млн. руб. В бюджет города поступило 36,5 млн. руб. налогов на совокупный доход от субъектов малого предпринимательства, применяющих специальные налоговые режимы, в том числе налог, взимаемый в связи с применением упрощенной системы налогообложения – 18 млн. руб., единый налог на вмененный доход для отдельных видов деятельности –18,5 млн. руб., что на 8% выше чем за аналогичный период прошлого года. В общем объеме неналоговых доходов значительную часть составляют доходы от использования имущества, находящегося в муниципальной собственности. На их долю приходится более 86,6% неналоговых поступлений, что в абсолютном выражении составляет почти 30 млн.руб. По отношению к 2016 году объем поступлений неналоговых доходов снизился на 1,5 млн.руб., что обусловлено изменением кадастровой стоимости земельных участков по решению суда. Расходы бюджета города исполнены на сумму 301 млн.руб. или на 94% от уточненного плана. Объем бюджетных инвестиций в объекты капитального строительства и на приобретение имущества в муниципальную собственность составил более 12,8 млн.руб. Расходы бюджета сохранили свою социальную направленность. Исполнение по отраслям социальной сферы составило 64,4% от общего объема расходов или более 194,2 млн.руб., из них на: - образование – 163,3 млн.руб. или 54%; - социальную политику – более 19 млн.руб. или 6,3%; - культуру – 8,5 млн.руб. или 2,8%; - физическую культуру и спорт – 2,7 млн. руб. или 0,9%. Расходы на производственную сферу составили 19,8% от общего </w:t>
            </w:r>
            <w:r w:rsidRPr="0070304B">
              <w:rPr>
                <w:rFonts w:ascii="Times New Roman" w:eastAsia="Times New Roman" w:hAnsi="Times New Roman" w:cs="Times New Roman"/>
                <w:color w:val="000000"/>
                <w:kern w:val="0"/>
                <w:sz w:val="27"/>
                <w:szCs w:val="27"/>
                <w:lang w:eastAsia="ru-RU"/>
                <w14:ligatures w14:val="none"/>
              </w:rPr>
              <w:lastRenderedPageBreak/>
              <w:t>объема расходов или 59,7 млн.руб., в том числе в сфере ЖКХ – более 10,8 млн.руб. или 3,6%; на национальную экономику – 48,9 млн.руб. или 16,2%. Прочие расходы (к ним относятся расходы на реализацию общегосударственных вопросов, национальную оборону, национальную безопасность, средства массовой информации) составили 47,7 млн.руб. или 15,8%.</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Жилищно-коммунальное хозяйство</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Работа в сфере жилищно-коммунального хозяйства была направлена на обеспечение благоприятных условий проживания горожан и сохранение стабильной работы городской инфраструктуры. 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водо-, электро-, газо-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являются важнейшими задачами администрации города. Мероприятий по подготовке к осенне-зимнему периоду 2017-2018 годов проводились за счет внебюджетных источников, выполнены следующие работы: - в летний период, в соответствии с графиком, проведены гидравлические испытания сетей, выполнен ремонт инженерных сетей, подготовлены к зиме котельные города и жилой фонд; - выполнены работы по замене ветхих сетей теплоснабжения, водоснабжения, проведен текущий ремонт оборудования и сетей; - в многоквартирных домах выполнен текущий ремонт кровель, межпанельных стыков, утеплены трубопроводы. В 2017 году за счет внебюджетных источников и средств местного бюджета построен поуличный водопровод по ул. Восходящая протяженностью 500 м, отремонтированы бесхозные водопроводные сети. Выдано 245 ордеров на производство земляных работ, 58 технических условий на сети водоснабжения и 5 на сети электроснабжения. В целях выполнения задачи повышения качества жизни населения в городе продолжалась работа по газификации, в прошедшем году за счет средств местного бюджета завершены работы по строительству газопровода низкого давления от ШРП № 9 по улицам Зимняя, Раздольная, Объездная, Успенская, Свободы, пер. Крестьянский, Усадебный. Построена и введена в эксплуатацию ГРП по ул. Нагорная. В рамках реализации краевой программы «Капитальный ремонт общего имущества в многоквартирных домах» в соответствии с утвержденным планом реализации мероприятий в многоквартирных домах, расположенных на территории города, в 2017 году выполнен капитальный ремонт в девяти многоквартирных домах. В 2018 году будет проведет капитальный ремонт еще в 6 многоквартирных домах.</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b/>
                <w:bCs/>
                <w:color w:val="000000"/>
                <w:kern w:val="0"/>
                <w:sz w:val="27"/>
                <w:szCs w:val="27"/>
                <w:lang w:eastAsia="ru-RU"/>
                <w14:ligatures w14:val="none"/>
              </w:rPr>
              <w:t>Социальная сфера</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lastRenderedPageBreak/>
              <w:t xml:space="preserve">При всем многообразии и важности решаемых задач приоритет всегда отдавался и отдается развитию образования, обеспечению предоставления образовательных услуг высокого качества и их доступности, созданию условий для развития и социализации молодёжи. В школах города обучаются 1950 детей, в том числе для 67% организован учебно-воспитательный процесс в первую смену. Одним из критериев эффективности деятельности общеобразовательных организаций являются результаты государственной итоговой аттестации. 100% - выпускников 9 классов, прошли государственную итоговую аттестацию и получили аттестаты об основном образовании. По результатам государственной итоговой аттестации в 11-х классах также 100% выпускников получили аттестат о среднем образовании, из них 10 человек были награждены медалью «За особые успехи в учении». Результаты Единого государственного экзамена лучшие за последние 5 лет, по 10 предметам из 12 – показатели выше краевых. Выпускников, набравших по результатам ЕГЭ 100 баллов – 2 (русский язык), что является высоким показателем вашей работы. В региональный этап Всероссийской олимпиады вышли 11 школьников по 7-ми предметам. В прошедшем учебном году 4 школьника стали обладателями Губернаторской премии. В городе созданы условия для эффективного поведения молодежи на рынке труда, в летний период фактически трудоустроено 83 подростка. В рамках реализации оздоровительной кампании в отчетном году 501 ребенок отдохнули в лагерях и санаторно-курортных учреждений, из них 441 ребенок в пришкольном лагере. На организацию работы детских оздоровительных лагерей с дневным пребыванием, профильных муниципальных смен, а также организацию трудовых объединений школьников выделено из муниципального бюджета 1188 тыс. руб. В последние годы государство уделяло повышенное внимание отечественной культуре и потому 2017 год был наполнен событиями, подтвердившими творческий потенциал города. Для развития культуры в городе Белокуриха успешно ведут свою деятельность 4 учреждения культуры. Творческие коллективы и исполнители учреждений культуры и дополнительного образования достойно приняли участие в 30 фестивалях и конкурсах различного уровня. В течение 2017 года проведено 247 мероприятий. За счет разнообразия форм творческих проектов, а также в связи с проведением крупномасштабных мероприятий в рамках празднования 150-летия города-курорта Белокуриха, количество посетителей мероприятий увеличилось по сравнению с предыдущим годом на 12% и составило 16 тыс. 820 человек. В рамках празднования 150-летия города-курорта Белокуриха проведена реконструкция главного экспозиционного макета «Гидроминеральный разрез Белокурихинского месторождения термальных вод», вышло в свет подарочное издание «Белокуриха: вчера, сегодня, завтра», впервые было проведено «Карнавальное шествие» санаторно-курортных комплексов, посвященное истории курорта Белокуриха, проведен концерт песен и музыки народов, населяющих Алтайский край, практически все проводимые мероприятия в городе были посвещены празнованию юбилея города. Образование в сфере культуры и искусства направлено на формирование творчески активной, культурно-образованной личности. Развитие физической культуры и массового спорта, организация проведения официальных физкультурных мероприятий, </w:t>
            </w:r>
            <w:r w:rsidRPr="0070304B">
              <w:rPr>
                <w:rFonts w:ascii="Times New Roman" w:eastAsia="Times New Roman" w:hAnsi="Times New Roman" w:cs="Times New Roman"/>
                <w:color w:val="000000"/>
                <w:kern w:val="0"/>
                <w:sz w:val="27"/>
                <w:szCs w:val="27"/>
                <w:lang w:eastAsia="ru-RU"/>
                <w14:ligatures w14:val="none"/>
              </w:rPr>
              <w:lastRenderedPageBreak/>
              <w:t>физкультурно-оздоровительных и спортивных мероприятий оказывает влияние на многие параметры социально-экономического положения города. Состояние развития спорта является важнейшим фактором оздоровления населения, привлечения детей и подростков к здоровому образу жизни, снижению нагрузки на правоохранительную деятельность и на медицинское обеспечение. В рамках реализации мероприятий муниципальной программы «Развитие физической культуры и массового спорта в городе Белокуриха на 2015 - 2020 годы» в 2017 году освоено 1575 тыс. рублей (100% от плановых значений). Все плановые показатели эффективности программы выполнены. Обеспечение права каждого на свободный доступ к физической культуре и спорту является необходимым условием развития человеческого потенциала и улучшения качества жизни горожан. Численность занимающихся физической культурой и спортом в спортивных секциях, группах физкультурно-оздоровительной направленности составляет 5577 человек (36,5% от численности населения города). Белокурихинские спортсмены приняли участие в 134-х мероприятиях различного уровня как внутри города, так и за его пределами. Юные хоккеисты 2002-2003 г.г. рождения стали победителями краевого первенства на приз клуба «Золотая шайба» и приняли участие в финале первенства России в городе Сочи. Высокие результаты показали юные спортсмены спортивной школы «Горные лыжи» на этапах Кубка России.</w:t>
            </w:r>
          </w:p>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ru-RU"/>
                <w14:ligatures w14:val="none"/>
              </w:rPr>
            </w:pPr>
            <w:r w:rsidRPr="0070304B">
              <w:rPr>
                <w:rFonts w:ascii="Times New Roman" w:eastAsia="Times New Roman" w:hAnsi="Times New Roman" w:cs="Times New Roman"/>
                <w:color w:val="000000"/>
                <w:kern w:val="0"/>
                <w:sz w:val="27"/>
                <w:szCs w:val="27"/>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577"/>
              <w:gridCol w:w="1170"/>
              <w:gridCol w:w="1393"/>
            </w:tblGrid>
            <w:tr w:rsidR="0070304B" w:rsidRPr="0070304B" w:rsidTr="0070304B">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b/>
                      <w:bCs/>
                      <w:i/>
                      <w:iCs/>
                      <w:kern w:val="0"/>
                      <w:sz w:val="24"/>
                      <w:szCs w:val="24"/>
                      <w:lang w:eastAsia="ru-RU"/>
                      <w14:ligatures w14:val="none"/>
                    </w:rPr>
                    <w:t>Глава города Белокуриха               </w:t>
                  </w:r>
                </w:p>
              </w:tc>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b/>
                      <w:bCs/>
                      <w:i/>
                      <w:iCs/>
                      <w:kern w:val="0"/>
                      <w:sz w:val="24"/>
                      <w:szCs w:val="24"/>
                      <w:lang w:eastAsia="ru-RU"/>
                      <w14:ligatures w14:val="none"/>
                    </w:rPr>
                    <w:t>                   </w:t>
                  </w:r>
                </w:p>
              </w:tc>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b/>
                      <w:bCs/>
                      <w:i/>
                      <w:iCs/>
                      <w:kern w:val="0"/>
                      <w:sz w:val="24"/>
                      <w:szCs w:val="24"/>
                      <w:lang w:eastAsia="ru-RU"/>
                      <w14:ligatures w14:val="none"/>
                    </w:rPr>
                    <w:t>К.И. Базаров</w:t>
                  </w:r>
                </w:p>
              </w:tc>
            </w:tr>
            <w:tr w:rsidR="0070304B" w:rsidRPr="0070304B" w:rsidTr="0070304B">
              <w:tc>
                <w:tcPr>
                  <w:tcW w:w="0" w:type="auto"/>
                  <w:vAlign w:val="center"/>
                  <w:hideMark/>
                </w:tcPr>
                <w:p w:rsidR="0070304B" w:rsidRPr="0070304B" w:rsidRDefault="0070304B" w:rsidP="0070304B">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b/>
                      <w:bCs/>
                      <w:i/>
                      <w:iCs/>
                      <w:kern w:val="0"/>
                      <w:sz w:val="24"/>
                      <w:szCs w:val="24"/>
                      <w:lang w:eastAsia="ru-RU"/>
                      <w14:ligatures w14:val="none"/>
                    </w:rPr>
                    <w:t>   </w:t>
                  </w:r>
                </w:p>
              </w:tc>
              <w:tc>
                <w:tcPr>
                  <w:tcW w:w="0" w:type="auto"/>
                  <w:vAlign w:val="center"/>
                  <w:hideMark/>
                </w:tcPr>
                <w:p w:rsidR="0070304B" w:rsidRPr="0070304B" w:rsidRDefault="0070304B" w:rsidP="0070304B">
                  <w:pPr>
                    <w:spacing w:after="0" w:line="240" w:lineRule="auto"/>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kern w:val="0"/>
                      <w:sz w:val="24"/>
                      <w:szCs w:val="24"/>
                      <w:lang w:eastAsia="ru-RU"/>
                      <w14:ligatures w14:val="none"/>
                    </w:rPr>
                    <w:t> </w:t>
                  </w:r>
                </w:p>
              </w:tc>
              <w:tc>
                <w:tcPr>
                  <w:tcW w:w="0" w:type="auto"/>
                  <w:vAlign w:val="center"/>
                  <w:hideMark/>
                </w:tcPr>
                <w:p w:rsidR="0070304B" w:rsidRPr="0070304B" w:rsidRDefault="0070304B" w:rsidP="0070304B">
                  <w:pPr>
                    <w:spacing w:after="0" w:line="240" w:lineRule="auto"/>
                    <w:rPr>
                      <w:rFonts w:ascii="Times New Roman" w:eastAsia="Times New Roman" w:hAnsi="Times New Roman" w:cs="Times New Roman"/>
                      <w:kern w:val="0"/>
                      <w:sz w:val="24"/>
                      <w:szCs w:val="24"/>
                      <w:lang w:eastAsia="ru-RU"/>
                      <w14:ligatures w14:val="none"/>
                    </w:rPr>
                  </w:pPr>
                  <w:r w:rsidRPr="0070304B">
                    <w:rPr>
                      <w:rFonts w:ascii="Times New Roman" w:eastAsia="Times New Roman" w:hAnsi="Times New Roman" w:cs="Times New Roman"/>
                      <w:kern w:val="0"/>
                      <w:sz w:val="24"/>
                      <w:szCs w:val="24"/>
                      <w:lang w:eastAsia="ru-RU"/>
                      <w14:ligatures w14:val="none"/>
                    </w:rPr>
                    <w:t> </w:t>
                  </w:r>
                </w:p>
              </w:tc>
            </w:tr>
          </w:tbl>
          <w:p w:rsidR="0070304B" w:rsidRPr="0070304B" w:rsidRDefault="0070304B" w:rsidP="0070304B">
            <w:pPr>
              <w:spacing w:after="0" w:line="240" w:lineRule="auto"/>
              <w:rPr>
                <w:rFonts w:ascii="Times New Roman" w:eastAsia="Times New Roman" w:hAnsi="Times New Roman" w:cs="Times New Roman"/>
                <w:color w:val="000000"/>
                <w:kern w:val="0"/>
                <w:sz w:val="27"/>
                <w:szCs w:val="27"/>
                <w:lang w:eastAsia="ru-RU"/>
                <w14:ligatures w14:val="none"/>
              </w:rPr>
            </w:pPr>
          </w:p>
        </w:tc>
      </w:tr>
    </w:tbl>
    <w:p w:rsidR="00B41C87" w:rsidRDefault="00B41C87"/>
    <w:sectPr w:rsidR="00B4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4B"/>
    <w:rsid w:val="0070304B"/>
    <w:rsid w:val="00AA6FE5"/>
    <w:rsid w:val="00B4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2CEA8-3438-40B1-9064-53EBB0A9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030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04B"/>
    <w:rPr>
      <w:rFonts w:ascii="Times New Roman" w:eastAsia="Times New Roman" w:hAnsi="Times New Roman" w:cs="Times New Roman"/>
      <w:b/>
      <w:bCs/>
      <w:kern w:val="36"/>
      <w:sz w:val="48"/>
      <w:szCs w:val="48"/>
      <w:lang w:eastAsia="ru-RU"/>
      <w14:ligatures w14:val="none"/>
    </w:rPr>
  </w:style>
  <w:style w:type="character" w:styleId="a3">
    <w:name w:val="Hyperlink"/>
    <w:basedOn w:val="a0"/>
    <w:uiPriority w:val="99"/>
    <w:semiHidden/>
    <w:unhideWhenUsed/>
    <w:rsid w:val="0070304B"/>
    <w:rPr>
      <w:color w:val="0000FF"/>
      <w:u w:val="single"/>
    </w:rPr>
  </w:style>
  <w:style w:type="paragraph" w:styleId="a4">
    <w:name w:val="Normal (Web)"/>
    <w:basedOn w:val="a"/>
    <w:uiPriority w:val="99"/>
    <w:semiHidden/>
    <w:unhideWhenUsed/>
    <w:rsid w:val="0070304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703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003">
      <w:bodyDiv w:val="1"/>
      <w:marLeft w:val="0"/>
      <w:marRight w:val="0"/>
      <w:marTop w:val="0"/>
      <w:marBottom w:val="0"/>
      <w:divBdr>
        <w:top w:val="none" w:sz="0" w:space="0" w:color="auto"/>
        <w:left w:val="none" w:sz="0" w:space="0" w:color="auto"/>
        <w:bottom w:val="none" w:sz="0" w:space="0" w:color="auto"/>
        <w:right w:val="none" w:sz="0" w:space="0" w:color="auto"/>
      </w:divBdr>
      <w:divsChild>
        <w:div w:id="561215021">
          <w:marLeft w:val="0"/>
          <w:marRight w:val="0"/>
          <w:marTop w:val="0"/>
          <w:marBottom w:val="0"/>
          <w:divBdr>
            <w:top w:val="none" w:sz="0" w:space="0" w:color="auto"/>
            <w:left w:val="none" w:sz="0" w:space="0" w:color="auto"/>
            <w:bottom w:val="none" w:sz="0" w:space="0" w:color="auto"/>
            <w:right w:val="none" w:sz="0" w:space="0" w:color="auto"/>
          </w:divBdr>
        </w:div>
        <w:div w:id="103495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4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lokuriha-gorod.ru/docs/0-0-0-516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GlavRed</dc:creator>
  <cp:keywords/>
  <dc:description/>
  <cp:lastModifiedBy>GlavRed</cp:lastModifiedBy>
  <cp:revision>1</cp:revision>
  <dcterms:created xsi:type="dcterms:W3CDTF">2024-04-26T01:58:00Z</dcterms:created>
  <dcterms:modified xsi:type="dcterms:W3CDTF">2024-04-26T01:59:00Z</dcterms:modified>
</cp:coreProperties>
</file>